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486"/>
        <w:gridCol w:w="7432"/>
      </w:tblGrid>
      <w:tr w:rsidR="00FF2C26" w:rsidRPr="00D57361" w14:paraId="3BFEBEB8" w14:textId="77777777" w:rsidTr="00EB2F02">
        <w:tc>
          <w:tcPr>
            <w:tcW w:w="2486" w:type="dxa"/>
            <w:vAlign w:val="center"/>
          </w:tcPr>
          <w:p w14:paraId="6E1BD663"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Job Title:</w:t>
            </w:r>
          </w:p>
        </w:tc>
        <w:tc>
          <w:tcPr>
            <w:tcW w:w="7432" w:type="dxa"/>
          </w:tcPr>
          <w:p w14:paraId="3CFC7419" w14:textId="27AB5D27" w:rsidR="00FF2C26" w:rsidRPr="00451292" w:rsidRDefault="00F469C1" w:rsidP="00EB2F02">
            <w:pPr>
              <w:spacing w:before="120" w:after="120"/>
              <w:rPr>
                <w:rFonts w:ascii="Fujitsu Infinity Pro" w:hAnsi="Fujitsu Infinity Pro"/>
                <w:bCs/>
                <w:szCs w:val="22"/>
                <w:lang w:val="en-US"/>
              </w:rPr>
            </w:pPr>
            <w:r w:rsidRPr="00451292">
              <w:rPr>
                <w:rFonts w:ascii="Fujitsu Infinity Pro" w:hAnsi="Fujitsu Infinity Pro"/>
                <w:bCs/>
                <w:szCs w:val="22"/>
                <w:lang w:val="en-US"/>
              </w:rPr>
              <w:t>Legal Counsel</w:t>
            </w:r>
          </w:p>
        </w:tc>
      </w:tr>
      <w:tr w:rsidR="00FF2C26" w:rsidRPr="00D57361" w14:paraId="1B6AD114" w14:textId="77777777" w:rsidTr="00EB2F02">
        <w:tc>
          <w:tcPr>
            <w:tcW w:w="2486" w:type="dxa"/>
            <w:vAlign w:val="center"/>
          </w:tcPr>
          <w:p w14:paraId="36E7784E"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Team:</w:t>
            </w:r>
          </w:p>
        </w:tc>
        <w:tc>
          <w:tcPr>
            <w:tcW w:w="7432" w:type="dxa"/>
          </w:tcPr>
          <w:p w14:paraId="68FF0B8B" w14:textId="71939CEE" w:rsidR="00FF2C26" w:rsidRPr="00FF7BEF" w:rsidRDefault="00DE7D95" w:rsidP="00EB2F02">
            <w:pPr>
              <w:spacing w:before="120" w:after="120"/>
              <w:rPr>
                <w:rFonts w:ascii="Fujitsu Infinity Pro" w:hAnsi="Fujitsu Infinity Pro"/>
                <w:szCs w:val="22"/>
                <w:lang w:val="en-US"/>
              </w:rPr>
            </w:pPr>
            <w:r>
              <w:rPr>
                <w:rFonts w:ascii="Fujitsu Infinity Pro" w:hAnsi="Fujitsu Infinity Pro"/>
                <w:szCs w:val="22"/>
                <w:lang w:val="en-US"/>
              </w:rPr>
              <w:t>Legal NZ</w:t>
            </w:r>
          </w:p>
        </w:tc>
      </w:tr>
      <w:tr w:rsidR="00FF2C26" w:rsidRPr="00D57361" w14:paraId="41C13F26" w14:textId="77777777" w:rsidTr="00EB2F02">
        <w:tc>
          <w:tcPr>
            <w:tcW w:w="2486" w:type="dxa"/>
            <w:vAlign w:val="center"/>
          </w:tcPr>
          <w:p w14:paraId="6BE3B039"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Reports to:</w:t>
            </w:r>
          </w:p>
        </w:tc>
        <w:tc>
          <w:tcPr>
            <w:tcW w:w="7432" w:type="dxa"/>
          </w:tcPr>
          <w:p w14:paraId="18EC713F" w14:textId="33B37C7A" w:rsidR="00FF2C26" w:rsidRPr="00FF7BEF" w:rsidRDefault="00F469C1" w:rsidP="00EB2F02">
            <w:pPr>
              <w:spacing w:before="120" w:after="120"/>
              <w:rPr>
                <w:rFonts w:ascii="Fujitsu Infinity Pro" w:hAnsi="Fujitsu Infinity Pro"/>
                <w:szCs w:val="22"/>
                <w:lang w:val="en-US"/>
              </w:rPr>
            </w:pPr>
            <w:r>
              <w:rPr>
                <w:rFonts w:ascii="Fujitsu Infinity Pro" w:hAnsi="Fujitsu Infinity Pro"/>
                <w:szCs w:val="22"/>
                <w:lang w:val="en-US"/>
              </w:rPr>
              <w:t xml:space="preserve">Sarah Retter </w:t>
            </w:r>
          </w:p>
        </w:tc>
      </w:tr>
      <w:tr w:rsidR="00FF2C26" w:rsidRPr="00D57361" w14:paraId="78047FB9" w14:textId="77777777" w:rsidTr="00EB2F02">
        <w:tc>
          <w:tcPr>
            <w:tcW w:w="2486" w:type="dxa"/>
            <w:vAlign w:val="center"/>
          </w:tcPr>
          <w:p w14:paraId="2DA076AA"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Direct Reports:</w:t>
            </w:r>
          </w:p>
        </w:tc>
        <w:tc>
          <w:tcPr>
            <w:tcW w:w="7432" w:type="dxa"/>
          </w:tcPr>
          <w:p w14:paraId="7FF513C6" w14:textId="77777777" w:rsidR="00FF2C26" w:rsidRPr="00FF7BEF" w:rsidRDefault="00FF2C26" w:rsidP="00EB2F02">
            <w:pPr>
              <w:spacing w:before="120" w:after="120"/>
              <w:rPr>
                <w:rFonts w:ascii="Fujitsu Infinity Pro" w:hAnsi="Fujitsu Infinity Pro"/>
                <w:szCs w:val="22"/>
                <w:lang w:val="en-US"/>
              </w:rPr>
            </w:pPr>
            <w:r w:rsidRPr="00FF7BEF">
              <w:rPr>
                <w:rFonts w:ascii="Fujitsu Infinity Pro" w:hAnsi="Fujitsu Infinity Pro"/>
                <w:szCs w:val="22"/>
                <w:lang w:val="en-US"/>
              </w:rPr>
              <w:t>0</w:t>
            </w:r>
          </w:p>
        </w:tc>
      </w:tr>
      <w:tr w:rsidR="00FF2C26" w:rsidRPr="00D57361" w14:paraId="480A669E" w14:textId="77777777" w:rsidTr="00EB2F02">
        <w:tc>
          <w:tcPr>
            <w:tcW w:w="2486" w:type="dxa"/>
            <w:vAlign w:val="center"/>
          </w:tcPr>
          <w:p w14:paraId="5FA4D284"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Indirect Reports:</w:t>
            </w:r>
          </w:p>
        </w:tc>
        <w:tc>
          <w:tcPr>
            <w:tcW w:w="7432" w:type="dxa"/>
          </w:tcPr>
          <w:p w14:paraId="512D0AF6" w14:textId="77777777" w:rsidR="00FF2C26" w:rsidRPr="00FF7BEF" w:rsidRDefault="00FF2C26" w:rsidP="00EB2F02">
            <w:pPr>
              <w:spacing w:before="120" w:after="120"/>
              <w:rPr>
                <w:rFonts w:ascii="Fujitsu Infinity Pro" w:hAnsi="Fujitsu Infinity Pro"/>
                <w:szCs w:val="22"/>
                <w:lang w:val="en-US"/>
              </w:rPr>
            </w:pPr>
            <w:r w:rsidRPr="00FF7BEF">
              <w:rPr>
                <w:rFonts w:ascii="Fujitsu Infinity Pro" w:hAnsi="Fujitsu Infinity Pro"/>
                <w:szCs w:val="22"/>
                <w:lang w:val="en-US"/>
              </w:rPr>
              <w:t>0</w:t>
            </w:r>
          </w:p>
        </w:tc>
      </w:tr>
      <w:tr w:rsidR="00FF2C26" w:rsidRPr="00D57361" w14:paraId="251D75EF" w14:textId="77777777" w:rsidTr="00EB2F02">
        <w:tc>
          <w:tcPr>
            <w:tcW w:w="2486" w:type="dxa"/>
            <w:vAlign w:val="center"/>
          </w:tcPr>
          <w:p w14:paraId="520FA0C7"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Location:</w:t>
            </w:r>
          </w:p>
        </w:tc>
        <w:tc>
          <w:tcPr>
            <w:tcW w:w="7432" w:type="dxa"/>
          </w:tcPr>
          <w:p w14:paraId="3C97C2EB" w14:textId="1451802E" w:rsidR="00FF2C26" w:rsidRPr="00451292" w:rsidRDefault="003B5D74" w:rsidP="00EB2F02">
            <w:pPr>
              <w:spacing w:before="120" w:after="120"/>
              <w:rPr>
                <w:rFonts w:ascii="Fujitsu Infinity Pro" w:hAnsi="Fujitsu Infinity Pro"/>
                <w:bCs/>
                <w:szCs w:val="22"/>
                <w:lang w:val="en-US"/>
              </w:rPr>
            </w:pPr>
            <w:r w:rsidRPr="00451292">
              <w:rPr>
                <w:rFonts w:ascii="Fujitsu Infinity Pro" w:hAnsi="Fujitsu Infinity Pro"/>
                <w:bCs/>
                <w:szCs w:val="22"/>
                <w:lang w:val="en-US"/>
              </w:rPr>
              <w:t>Auckland or Wellington</w:t>
            </w:r>
          </w:p>
        </w:tc>
      </w:tr>
      <w:tr w:rsidR="00FF2C26" w:rsidRPr="00D57361" w14:paraId="415C2A25" w14:textId="77777777" w:rsidTr="00EB2F02">
        <w:tc>
          <w:tcPr>
            <w:tcW w:w="2486" w:type="dxa"/>
            <w:vAlign w:val="center"/>
          </w:tcPr>
          <w:p w14:paraId="76420D04"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Employment Type:</w:t>
            </w:r>
          </w:p>
        </w:tc>
        <w:tc>
          <w:tcPr>
            <w:tcW w:w="7432" w:type="dxa"/>
          </w:tcPr>
          <w:p w14:paraId="5EFA3F53" w14:textId="77777777" w:rsidR="00FF2C26" w:rsidRPr="00451292" w:rsidRDefault="00FF2C26" w:rsidP="00EB2F02">
            <w:pPr>
              <w:spacing w:before="120" w:after="120"/>
              <w:rPr>
                <w:rFonts w:ascii="Fujitsu Infinity Pro" w:hAnsi="Fujitsu Infinity Pro"/>
                <w:szCs w:val="22"/>
                <w:lang w:val="en-US"/>
              </w:rPr>
            </w:pPr>
            <w:r w:rsidRPr="00451292">
              <w:rPr>
                <w:rFonts w:ascii="Fujitsu Infinity Pro" w:hAnsi="Fujitsu Infinity Pro"/>
                <w:szCs w:val="22"/>
                <w:lang w:val="en-US"/>
              </w:rPr>
              <w:t>Permanent full time</w:t>
            </w:r>
          </w:p>
        </w:tc>
      </w:tr>
      <w:tr w:rsidR="00FF2C26" w:rsidRPr="00D57361" w14:paraId="2026A4DC" w14:textId="77777777" w:rsidTr="00EB2F02">
        <w:tc>
          <w:tcPr>
            <w:tcW w:w="2486" w:type="dxa"/>
            <w:vAlign w:val="center"/>
          </w:tcPr>
          <w:p w14:paraId="07C9A2DD" w14:textId="77777777" w:rsidR="00FF2C26" w:rsidRPr="00123B47" w:rsidRDefault="00FF2C26" w:rsidP="00EB2F02">
            <w:pPr>
              <w:rPr>
                <w:rFonts w:ascii="Fujitsu Infinity Pro" w:hAnsi="Fujitsu Infinity Pro"/>
                <w:b/>
                <w:color w:val="000000" w:themeColor="text1"/>
                <w:sz w:val="24"/>
                <w:szCs w:val="36"/>
                <w:lang w:val="en-US"/>
              </w:rPr>
            </w:pPr>
            <w:r w:rsidRPr="00123B47">
              <w:rPr>
                <w:rFonts w:ascii="Fujitsu Infinity Pro" w:hAnsi="Fujitsu Infinity Pro"/>
                <w:b/>
                <w:color w:val="000000" w:themeColor="text1"/>
                <w:sz w:val="24"/>
                <w:szCs w:val="36"/>
                <w:lang w:val="en-US"/>
              </w:rPr>
              <w:t>Date updated:</w:t>
            </w:r>
          </w:p>
        </w:tc>
        <w:tc>
          <w:tcPr>
            <w:tcW w:w="7432" w:type="dxa"/>
          </w:tcPr>
          <w:p w14:paraId="5D79AE75" w14:textId="3542B822" w:rsidR="00FF2C26" w:rsidRPr="00451292" w:rsidRDefault="006667D3" w:rsidP="00EB2F02">
            <w:pPr>
              <w:spacing w:before="120" w:after="120"/>
              <w:rPr>
                <w:rFonts w:ascii="Fujitsu Infinity Pro" w:hAnsi="Fujitsu Infinity Pro"/>
                <w:szCs w:val="22"/>
                <w:lang w:val="en-US"/>
              </w:rPr>
            </w:pPr>
            <w:r w:rsidRPr="00451292">
              <w:rPr>
                <w:rFonts w:ascii="Fujitsu Infinity Pro" w:hAnsi="Fujitsu Infinity Pro"/>
                <w:szCs w:val="22"/>
                <w:lang w:val="en-US"/>
              </w:rPr>
              <w:t>July 2023</w:t>
            </w:r>
          </w:p>
        </w:tc>
      </w:tr>
    </w:tbl>
    <w:p w14:paraId="058F440C" w14:textId="77777777" w:rsidR="00FF2C26" w:rsidRPr="00D57361" w:rsidRDefault="00FF2C26" w:rsidP="00FF2C26">
      <w:pPr>
        <w:rPr>
          <w:rFonts w:cs="Arial"/>
          <w:szCs w:val="22"/>
          <w:lang w:val="en-US"/>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0031"/>
      </w:tblGrid>
      <w:tr w:rsidR="00FF2C26" w:rsidRPr="00D57361" w14:paraId="7543472E" w14:textId="77777777" w:rsidTr="002563B7">
        <w:trPr>
          <w:trHeight w:val="344"/>
        </w:trPr>
        <w:tc>
          <w:tcPr>
            <w:tcW w:w="10031" w:type="dxa"/>
            <w:shd w:val="clear" w:color="auto" w:fill="FF0000"/>
            <w:vAlign w:val="center"/>
          </w:tcPr>
          <w:p w14:paraId="643235B5" w14:textId="77777777" w:rsidR="00FF2C26" w:rsidRPr="00701D5A" w:rsidRDefault="00FF2C26" w:rsidP="00EB2F02">
            <w:pPr>
              <w:pStyle w:val="Heading1"/>
              <w:spacing w:before="120" w:after="120"/>
              <w:outlineLvl w:val="0"/>
              <w:rPr>
                <w:rFonts w:ascii="Fujitsu Infinity Pro" w:hAnsi="Fujitsu Infinity Pro" w:cs="Arial"/>
                <w:bCs w:val="0"/>
                <w:color w:val="FFFFFF" w:themeColor="background1"/>
                <w:szCs w:val="22"/>
                <w:lang w:val="en-US"/>
              </w:rPr>
            </w:pPr>
            <w:r w:rsidRPr="001E2282">
              <w:rPr>
                <w:rFonts w:ascii="Fujitsu Infinity Pro" w:hAnsi="Fujitsu Infinity Pro" w:cs="Arial"/>
                <w:bCs w:val="0"/>
                <w:color w:val="FFFFFF" w:themeColor="background1"/>
                <w:sz w:val="24"/>
                <w:szCs w:val="22"/>
                <w:lang w:val="en-US"/>
              </w:rPr>
              <w:t>Job Purpose</w:t>
            </w:r>
            <w:r w:rsidRPr="001E2282">
              <w:rPr>
                <w:rFonts w:ascii="Fujitsu Infinity Pro" w:hAnsi="Fujitsu Infinity Pro" w:cs="Arial"/>
                <w:bCs w:val="0"/>
                <w:color w:val="000000" w:themeColor="text1"/>
                <w:sz w:val="24"/>
                <w:szCs w:val="22"/>
                <w:lang w:val="en-US"/>
              </w:rPr>
              <w:t xml:space="preserve">  </w:t>
            </w:r>
            <w:r w:rsidRPr="001E2282">
              <w:rPr>
                <w:rFonts w:ascii="Fujitsu Infinity Pro" w:hAnsi="Fujitsu Infinity Pro" w:cs="Arial"/>
                <w:bCs w:val="0"/>
                <w:color w:val="FFFFFF" w:themeColor="background1"/>
                <w:szCs w:val="22"/>
                <w:lang w:val="en-US"/>
              </w:rPr>
              <w:t xml:space="preserve"> </w:t>
            </w:r>
          </w:p>
        </w:tc>
      </w:tr>
      <w:tr w:rsidR="00451292" w:rsidRPr="00D57361" w14:paraId="7DE47690" w14:textId="77777777" w:rsidTr="00150F02">
        <w:tc>
          <w:tcPr>
            <w:tcW w:w="10031" w:type="dxa"/>
          </w:tcPr>
          <w:p w14:paraId="3BA68260" w14:textId="2087AD25" w:rsidR="00701D5A" w:rsidRPr="00701D5A" w:rsidRDefault="00451292" w:rsidP="000D1CF9">
            <w:pPr>
              <w:autoSpaceDE w:val="0"/>
              <w:autoSpaceDN w:val="0"/>
              <w:adjustRightInd w:val="0"/>
              <w:spacing w:line="360" w:lineRule="auto"/>
              <w:rPr>
                <w:szCs w:val="20"/>
              </w:rPr>
            </w:pPr>
            <w:r w:rsidRPr="00701D5A">
              <w:rPr>
                <w:szCs w:val="20"/>
              </w:rPr>
              <w:t>The role holder provides commercial support to a market segment or number of nominated accounts with a thorough understanding of the market/customer accounts and is responsible for all commercial activities in that area.  Assists in the decision making process on customer transactions (new and ongoing).</w:t>
            </w:r>
          </w:p>
        </w:tc>
      </w:tr>
    </w:tbl>
    <w:p w14:paraId="40A55C69" w14:textId="77777777" w:rsidR="00FF2C26" w:rsidRPr="00D57361" w:rsidRDefault="00FF2C26" w:rsidP="00FF2C26">
      <w:pPr>
        <w:rPr>
          <w:rFonts w:cs="Arial"/>
          <w:szCs w:val="22"/>
          <w:lang w:val="en-US"/>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0031"/>
      </w:tblGrid>
      <w:tr w:rsidR="00FF2C26" w:rsidRPr="000C3D54" w14:paraId="2E9EE4C5" w14:textId="77777777" w:rsidTr="002563B7">
        <w:trPr>
          <w:trHeight w:val="344"/>
        </w:trPr>
        <w:tc>
          <w:tcPr>
            <w:tcW w:w="10031" w:type="dxa"/>
            <w:shd w:val="clear" w:color="auto" w:fill="FF0000"/>
            <w:vAlign w:val="center"/>
          </w:tcPr>
          <w:p w14:paraId="22D709C7" w14:textId="77777777" w:rsidR="00FF2C26" w:rsidRPr="001E2282" w:rsidRDefault="00FF2C26" w:rsidP="00EB2F02">
            <w:pPr>
              <w:pStyle w:val="Heading1"/>
              <w:spacing w:before="120" w:after="120"/>
              <w:outlineLvl w:val="0"/>
              <w:rPr>
                <w:rFonts w:ascii="Fujitsu Infinity Pro" w:hAnsi="Fujitsu Infinity Pro" w:cs="Arial"/>
                <w:bCs w:val="0"/>
                <w:color w:val="FFFFFF" w:themeColor="background1"/>
                <w:szCs w:val="22"/>
                <w:lang w:val="en-US"/>
              </w:rPr>
            </w:pPr>
            <w:r w:rsidRPr="001E2282">
              <w:rPr>
                <w:rFonts w:ascii="Fujitsu Infinity Pro" w:hAnsi="Fujitsu Infinity Pro" w:cs="Arial"/>
                <w:bCs w:val="0"/>
                <w:color w:val="FFFFFF" w:themeColor="background1"/>
                <w:sz w:val="24"/>
                <w:szCs w:val="22"/>
                <w:lang w:val="en-US"/>
              </w:rPr>
              <w:t>Key Responsibilities</w:t>
            </w:r>
          </w:p>
        </w:tc>
      </w:tr>
      <w:tr w:rsidR="00FF2C26" w:rsidRPr="000C3D54" w14:paraId="1A66FE2B" w14:textId="77777777" w:rsidTr="00EB2F02">
        <w:tc>
          <w:tcPr>
            <w:tcW w:w="10031" w:type="dxa"/>
            <w:vAlign w:val="center"/>
          </w:tcPr>
          <w:p w14:paraId="17E98F66" w14:textId="77777777" w:rsidR="00FF2C26" w:rsidRDefault="00FF2C26" w:rsidP="000D1CF9">
            <w:pPr>
              <w:numPr>
                <w:ilvl w:val="0"/>
                <w:numId w:val="4"/>
              </w:numPr>
              <w:spacing w:line="360" w:lineRule="auto"/>
              <w:rPr>
                <w:szCs w:val="20"/>
              </w:rPr>
            </w:pPr>
            <w:r w:rsidRPr="00701D5A">
              <w:rPr>
                <w:rFonts w:ascii="Fujitsu Infinity Pro" w:hAnsi="Fujitsu Infinity Pro"/>
                <w:szCs w:val="20"/>
              </w:rPr>
              <w:t xml:space="preserve"> </w:t>
            </w:r>
            <w:r w:rsidR="006D7D80" w:rsidRPr="00701D5A">
              <w:rPr>
                <w:b/>
                <w:bCs/>
                <w:szCs w:val="20"/>
              </w:rPr>
              <w:t>Deal Making/New Business Deals</w:t>
            </w:r>
            <w:r w:rsidR="006D7D80" w:rsidRPr="00701D5A">
              <w:rPr>
                <w:szCs w:val="20"/>
              </w:rPr>
              <w:t xml:space="preserve"> - Structures and negotiates new business deals (e.g. contributing to complex major bids and non complex bids, managing straightforward bid/tenders, providing detailed comments on customer terms and conditions, providing guidance and direction to the sales force)</w:t>
            </w:r>
            <w:r w:rsidR="006D7D80" w:rsidRPr="00701D5A">
              <w:rPr>
                <w:b/>
                <w:szCs w:val="20"/>
              </w:rPr>
              <w:t xml:space="preserve"> </w:t>
            </w:r>
            <w:r w:rsidR="006D7D80" w:rsidRPr="00701D5A">
              <w:rPr>
                <w:szCs w:val="20"/>
              </w:rPr>
              <w:t xml:space="preserve">to the best commercial advantage to Fujitsu. Drafting and reviewing contractual terms and contracts. </w:t>
            </w:r>
          </w:p>
          <w:p w14:paraId="37B77481" w14:textId="1B443914" w:rsidR="005E7B96" w:rsidRPr="005E7B96" w:rsidRDefault="00701D5A" w:rsidP="005E7B96">
            <w:pPr>
              <w:numPr>
                <w:ilvl w:val="0"/>
                <w:numId w:val="4"/>
              </w:numPr>
              <w:spacing w:line="360" w:lineRule="auto"/>
              <w:jc w:val="both"/>
              <w:rPr>
                <w:szCs w:val="20"/>
              </w:rPr>
            </w:pPr>
            <w:r w:rsidRPr="00701D5A">
              <w:rPr>
                <w:b/>
                <w:bCs/>
                <w:szCs w:val="20"/>
              </w:rPr>
              <w:t>Contract Management</w:t>
            </w:r>
            <w:r w:rsidRPr="00701D5A">
              <w:rPr>
                <w:rFonts w:ascii="Fujitsu Infinity Pro" w:hAnsi="Fujitsu Infinity Pro"/>
                <w:szCs w:val="20"/>
              </w:rPr>
              <w:t>-</w:t>
            </w:r>
            <w:r>
              <w:rPr>
                <w:b/>
                <w:sz w:val="18"/>
                <w:szCs w:val="18"/>
              </w:rPr>
              <w:t xml:space="preserve"> </w:t>
            </w:r>
            <w:r w:rsidRPr="00701D5A">
              <w:rPr>
                <w:szCs w:val="20"/>
              </w:rPr>
              <w:t>Works with the Delivery teams to support the successful delivery of business in accordance with the contractual terms. Activities include leading and facilitating contract baseline reviews, and provision of advice and guidance relating to the delivery of services in accordance with its contractual terms.</w:t>
            </w:r>
          </w:p>
          <w:p w14:paraId="7BA2C0C3" w14:textId="1DB70FDE" w:rsidR="005E7B96" w:rsidRPr="005E7B96" w:rsidRDefault="00F55DC9" w:rsidP="005E7B96">
            <w:pPr>
              <w:numPr>
                <w:ilvl w:val="0"/>
                <w:numId w:val="4"/>
              </w:numPr>
              <w:spacing w:line="360" w:lineRule="auto"/>
              <w:jc w:val="both"/>
              <w:rPr>
                <w:szCs w:val="20"/>
              </w:rPr>
            </w:pPr>
            <w:r w:rsidRPr="00F55DC9">
              <w:rPr>
                <w:b/>
                <w:bCs/>
                <w:szCs w:val="20"/>
              </w:rPr>
              <w:t>Contract Interpretation / Dispute Resolution</w:t>
            </w:r>
            <w:r w:rsidRPr="00F55DC9">
              <w:rPr>
                <w:szCs w:val="20"/>
              </w:rPr>
              <w:t xml:space="preserve"> - Guides the business in its understanding of what our contractual commitments are and if current account activities comply. Advises approach and/or participates in discussions where customer believes that we are not fulfilling our obligations, participating in formal dispute resolution/negotiations and providing recommendations for resolution of dispute situations.</w:t>
            </w:r>
          </w:p>
          <w:p w14:paraId="046635A5" w14:textId="31441881" w:rsidR="005E7B96" w:rsidRPr="005E7B96" w:rsidRDefault="00DC453C" w:rsidP="005E7B96">
            <w:pPr>
              <w:numPr>
                <w:ilvl w:val="0"/>
                <w:numId w:val="4"/>
              </w:numPr>
              <w:spacing w:line="360" w:lineRule="auto"/>
              <w:rPr>
                <w:szCs w:val="20"/>
              </w:rPr>
            </w:pPr>
            <w:r w:rsidRPr="005E7B96">
              <w:rPr>
                <w:b/>
                <w:bCs/>
                <w:szCs w:val="20"/>
              </w:rPr>
              <w:t>Policy -</w:t>
            </w:r>
            <w:r w:rsidRPr="005E7B96">
              <w:rPr>
                <w:szCs w:val="20"/>
              </w:rPr>
              <w:t xml:space="preserve"> </w:t>
            </w:r>
            <w:r w:rsidRPr="00DC453C">
              <w:rPr>
                <w:szCs w:val="20"/>
              </w:rPr>
              <w:t>Shares ways and approaches with the business to maintain compliance to</w:t>
            </w:r>
            <w:r>
              <w:rPr>
                <w:szCs w:val="20"/>
              </w:rPr>
              <w:t xml:space="preserve"> </w:t>
            </w:r>
            <w:r w:rsidRPr="00DC453C">
              <w:rPr>
                <w:szCs w:val="20"/>
              </w:rPr>
              <w:t>commercial standards and policy.</w:t>
            </w:r>
          </w:p>
          <w:p w14:paraId="00A20966" w14:textId="77777777" w:rsidR="005E7B96" w:rsidRDefault="005E7B96" w:rsidP="00663AEF">
            <w:pPr>
              <w:numPr>
                <w:ilvl w:val="0"/>
                <w:numId w:val="4"/>
              </w:numPr>
              <w:spacing w:line="360" w:lineRule="auto"/>
              <w:rPr>
                <w:szCs w:val="20"/>
              </w:rPr>
            </w:pPr>
            <w:r w:rsidRPr="005E7B96">
              <w:rPr>
                <w:b/>
                <w:bCs/>
                <w:szCs w:val="20"/>
              </w:rPr>
              <w:t>Offering Infrastructure</w:t>
            </w:r>
            <w:r w:rsidRPr="005E7B96">
              <w:rPr>
                <w:szCs w:val="20"/>
              </w:rPr>
              <w:t xml:space="preserve"> - Constructs service/product descriptions for business offerings and contributes to the definition of trading terms with customers and suppliers to meet business needs</w:t>
            </w:r>
            <w:r w:rsidR="00663AEF">
              <w:rPr>
                <w:szCs w:val="20"/>
              </w:rPr>
              <w:t>.</w:t>
            </w:r>
          </w:p>
          <w:p w14:paraId="279CE176" w14:textId="77777777" w:rsidR="00AA3959" w:rsidRDefault="00AA3959" w:rsidP="00AA3959">
            <w:pPr>
              <w:numPr>
                <w:ilvl w:val="0"/>
                <w:numId w:val="4"/>
              </w:numPr>
              <w:spacing w:line="360" w:lineRule="auto"/>
              <w:rPr>
                <w:szCs w:val="20"/>
              </w:rPr>
            </w:pPr>
            <w:r w:rsidRPr="00AA3959">
              <w:rPr>
                <w:b/>
                <w:bCs/>
                <w:szCs w:val="20"/>
              </w:rPr>
              <w:t>Business Risk (identification, management and mitigation) -</w:t>
            </w:r>
            <w:r w:rsidRPr="001B7D1B">
              <w:rPr>
                <w:b/>
                <w:sz w:val="18"/>
                <w:szCs w:val="18"/>
              </w:rPr>
              <w:t xml:space="preserve"> </w:t>
            </w:r>
            <w:r w:rsidRPr="001B7D1B">
              <w:rPr>
                <w:sz w:val="18"/>
                <w:szCs w:val="18"/>
              </w:rPr>
              <w:t>J</w:t>
            </w:r>
            <w:r w:rsidRPr="00AA3959">
              <w:rPr>
                <w:szCs w:val="20"/>
              </w:rPr>
              <w:t>udges acceptability of overall risk level of deal and mitigating options, helping business devise sensible steps to address through appropriate contract terms or contract management, ensuring all known issues are tabled openly.</w:t>
            </w:r>
          </w:p>
          <w:p w14:paraId="65B8E655" w14:textId="77777777" w:rsidR="00835EC8" w:rsidRDefault="00835EC8" w:rsidP="000B6C10">
            <w:pPr>
              <w:numPr>
                <w:ilvl w:val="0"/>
                <w:numId w:val="4"/>
              </w:numPr>
              <w:spacing w:line="360" w:lineRule="auto"/>
              <w:jc w:val="both"/>
              <w:rPr>
                <w:szCs w:val="20"/>
              </w:rPr>
            </w:pPr>
            <w:r w:rsidRPr="00AE68E7">
              <w:rPr>
                <w:b/>
                <w:bCs/>
                <w:sz w:val="18"/>
                <w:szCs w:val="18"/>
              </w:rPr>
              <w:lastRenderedPageBreak/>
              <w:t xml:space="preserve">Development and Teamwork </w:t>
            </w:r>
            <w:r>
              <w:rPr>
                <w:b/>
                <w:bCs/>
                <w:sz w:val="18"/>
                <w:szCs w:val="18"/>
              </w:rPr>
              <w:t>–</w:t>
            </w:r>
            <w:r w:rsidRPr="00AE68E7">
              <w:rPr>
                <w:b/>
                <w:bCs/>
                <w:sz w:val="18"/>
                <w:szCs w:val="18"/>
              </w:rPr>
              <w:t xml:space="preserve"> </w:t>
            </w:r>
            <w:r w:rsidRPr="00835EC8">
              <w:rPr>
                <w:szCs w:val="20"/>
              </w:rPr>
              <w:t>Seeks to increase the value contribution they make to the business. Effective and enthusiastic team worker who creates positive working relationships. Ensures individual objectives are agreed with manager and works towards achieving them.</w:t>
            </w:r>
          </w:p>
          <w:p w14:paraId="5B48FEE2" w14:textId="44FAD48C" w:rsidR="0099512F" w:rsidRPr="00701D5A" w:rsidRDefault="0099512F" w:rsidP="0099512F">
            <w:pPr>
              <w:spacing w:line="360" w:lineRule="auto"/>
              <w:ind w:left="360"/>
              <w:rPr>
                <w:szCs w:val="20"/>
              </w:rPr>
            </w:pPr>
          </w:p>
        </w:tc>
      </w:tr>
    </w:tbl>
    <w:p w14:paraId="7C3177D5" w14:textId="77777777" w:rsidR="00FF2C26" w:rsidRPr="00D57361" w:rsidRDefault="00FF2C26" w:rsidP="00FF2C26">
      <w:pPr>
        <w:rPr>
          <w:szCs w:val="22"/>
          <w:lang w:val="en-US"/>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0031"/>
      </w:tblGrid>
      <w:tr w:rsidR="00FF2C26" w:rsidRPr="00D57361" w14:paraId="741C69EA" w14:textId="77777777" w:rsidTr="00FE7E7A">
        <w:trPr>
          <w:trHeight w:val="340"/>
        </w:trPr>
        <w:tc>
          <w:tcPr>
            <w:tcW w:w="10031" w:type="dxa"/>
            <w:shd w:val="clear" w:color="auto" w:fill="FF0000"/>
            <w:vAlign w:val="center"/>
          </w:tcPr>
          <w:p w14:paraId="10CF19C6" w14:textId="77777777" w:rsidR="00FF2C26" w:rsidRPr="00FF7BEF" w:rsidRDefault="00FF2C26" w:rsidP="00EB2F02">
            <w:pPr>
              <w:pStyle w:val="Heading1"/>
              <w:spacing w:before="120" w:after="120"/>
              <w:outlineLvl w:val="0"/>
              <w:rPr>
                <w:rFonts w:ascii="Fujitsu Infinity Pro" w:hAnsi="Fujitsu Infinity Pro" w:cs="Arial"/>
                <w:b w:val="0"/>
                <w:color w:val="FFFFFF" w:themeColor="background1"/>
                <w:szCs w:val="22"/>
                <w:lang w:val="en-US"/>
              </w:rPr>
            </w:pPr>
            <w:r w:rsidRPr="00D64B87">
              <w:rPr>
                <w:rFonts w:ascii="Fujitsu Infinity Pro" w:hAnsi="Fujitsu Infinity Pro" w:cs="Arial"/>
                <w:bCs w:val="0"/>
                <w:color w:val="FFFFFF" w:themeColor="background1"/>
                <w:sz w:val="24"/>
                <w:szCs w:val="22"/>
                <w:lang w:val="en-US"/>
              </w:rPr>
              <w:t>Key Performance Indicators</w:t>
            </w:r>
            <w:r w:rsidRPr="00FF7BEF">
              <w:rPr>
                <w:rFonts w:ascii="Fujitsu Infinity Pro" w:hAnsi="Fujitsu Infinity Pro" w:cs="Arial"/>
                <w:b w:val="0"/>
                <w:color w:val="FFFFFF" w:themeColor="background1"/>
                <w:szCs w:val="22"/>
                <w:lang w:val="en-US"/>
              </w:rPr>
              <w:t xml:space="preserve"> </w:t>
            </w:r>
          </w:p>
        </w:tc>
      </w:tr>
      <w:tr w:rsidR="00FF2C26" w:rsidRPr="00D57361" w14:paraId="2225FCA5" w14:textId="77777777" w:rsidTr="00EB2F02">
        <w:tc>
          <w:tcPr>
            <w:tcW w:w="10031" w:type="dxa"/>
            <w:vAlign w:val="center"/>
          </w:tcPr>
          <w:p w14:paraId="7B49F490" w14:textId="77777777" w:rsidR="00B359E9" w:rsidRPr="00B359E9" w:rsidRDefault="00B359E9" w:rsidP="00E9199B">
            <w:pPr>
              <w:numPr>
                <w:ilvl w:val="0"/>
                <w:numId w:val="1"/>
              </w:numPr>
              <w:spacing w:line="360" w:lineRule="auto"/>
              <w:rPr>
                <w:szCs w:val="20"/>
              </w:rPr>
            </w:pPr>
            <w:r w:rsidRPr="00B359E9">
              <w:rPr>
                <w:szCs w:val="20"/>
              </w:rPr>
              <w:t>Brings customer negotiations to a successful conclusion</w:t>
            </w:r>
          </w:p>
          <w:p w14:paraId="5F381F56" w14:textId="77777777" w:rsidR="00B359E9" w:rsidRPr="00B359E9" w:rsidRDefault="00B359E9" w:rsidP="00E9199B">
            <w:pPr>
              <w:numPr>
                <w:ilvl w:val="0"/>
                <w:numId w:val="1"/>
              </w:numPr>
              <w:spacing w:line="360" w:lineRule="auto"/>
              <w:rPr>
                <w:szCs w:val="20"/>
              </w:rPr>
            </w:pPr>
            <w:r w:rsidRPr="00B359E9">
              <w:rPr>
                <w:szCs w:val="20"/>
              </w:rPr>
              <w:t>Completes business transactions which result in positive P&amp;L performance and market growth.</w:t>
            </w:r>
          </w:p>
          <w:p w14:paraId="703FB7E7" w14:textId="77777777" w:rsidR="00B359E9" w:rsidRPr="00B359E9" w:rsidRDefault="00B359E9" w:rsidP="00E9199B">
            <w:pPr>
              <w:numPr>
                <w:ilvl w:val="0"/>
                <w:numId w:val="1"/>
              </w:numPr>
              <w:spacing w:line="360" w:lineRule="auto"/>
              <w:rPr>
                <w:szCs w:val="20"/>
              </w:rPr>
            </w:pPr>
            <w:r w:rsidRPr="00B359E9">
              <w:rPr>
                <w:szCs w:val="20"/>
              </w:rPr>
              <w:t>Valued by bid team as a positive contributor and expert in the commercial field; seen as responsive and creative in meeting customer requirements without prejudicing the company’s business interests.</w:t>
            </w:r>
          </w:p>
          <w:p w14:paraId="726E9350" w14:textId="77777777" w:rsidR="00602E99" w:rsidRPr="00602E99" w:rsidRDefault="00602E99" w:rsidP="00E9199B">
            <w:pPr>
              <w:numPr>
                <w:ilvl w:val="0"/>
                <w:numId w:val="1"/>
              </w:numPr>
              <w:spacing w:line="360" w:lineRule="auto"/>
              <w:rPr>
                <w:szCs w:val="20"/>
              </w:rPr>
            </w:pPr>
            <w:r w:rsidRPr="00602E99">
              <w:rPr>
                <w:szCs w:val="20"/>
              </w:rPr>
              <w:t>Contract baseline review held so delivery team understands what contracted obligations must be met.</w:t>
            </w:r>
          </w:p>
          <w:p w14:paraId="17166BFC" w14:textId="77777777" w:rsidR="00602E99" w:rsidRPr="00602E99" w:rsidRDefault="00602E99" w:rsidP="00E9199B">
            <w:pPr>
              <w:numPr>
                <w:ilvl w:val="0"/>
                <w:numId w:val="1"/>
              </w:numPr>
              <w:spacing w:line="360" w:lineRule="auto"/>
              <w:rPr>
                <w:szCs w:val="20"/>
              </w:rPr>
            </w:pPr>
            <w:r w:rsidRPr="00602E99">
              <w:rPr>
                <w:szCs w:val="20"/>
              </w:rPr>
              <w:t>Successful delivery of business in accordance with contractual terms.</w:t>
            </w:r>
          </w:p>
          <w:p w14:paraId="52396934" w14:textId="77777777" w:rsidR="00602E99" w:rsidRPr="00602E99" w:rsidRDefault="00602E99" w:rsidP="00E9199B">
            <w:pPr>
              <w:numPr>
                <w:ilvl w:val="0"/>
                <w:numId w:val="1"/>
              </w:numPr>
              <w:spacing w:line="360" w:lineRule="auto"/>
              <w:rPr>
                <w:szCs w:val="20"/>
              </w:rPr>
            </w:pPr>
            <w:r w:rsidRPr="00602E99">
              <w:rPr>
                <w:szCs w:val="20"/>
              </w:rPr>
              <w:t>Used by account team as first port of call to clarify contractual content as required.</w:t>
            </w:r>
          </w:p>
          <w:p w14:paraId="7F85D4BE" w14:textId="77777777" w:rsidR="00602E99" w:rsidRPr="00602E99" w:rsidRDefault="00602E99" w:rsidP="00E9199B">
            <w:pPr>
              <w:numPr>
                <w:ilvl w:val="0"/>
                <w:numId w:val="1"/>
              </w:numPr>
              <w:spacing w:line="360" w:lineRule="auto"/>
              <w:rPr>
                <w:szCs w:val="20"/>
              </w:rPr>
            </w:pPr>
            <w:r w:rsidRPr="00602E99">
              <w:rPr>
                <w:szCs w:val="20"/>
              </w:rPr>
              <w:t>Identifies where areas of conflict may arise and recommends way to resolve.</w:t>
            </w:r>
          </w:p>
          <w:p w14:paraId="7315F536" w14:textId="77777777" w:rsidR="00285224" w:rsidRPr="00285224" w:rsidRDefault="00285224" w:rsidP="00E9199B">
            <w:pPr>
              <w:numPr>
                <w:ilvl w:val="0"/>
                <w:numId w:val="1"/>
              </w:numPr>
              <w:spacing w:line="360" w:lineRule="auto"/>
              <w:rPr>
                <w:szCs w:val="20"/>
              </w:rPr>
            </w:pPr>
            <w:r w:rsidRPr="00285224">
              <w:rPr>
                <w:szCs w:val="20"/>
              </w:rPr>
              <w:t>Customer satisfaction and account growth; dispute avoidance.</w:t>
            </w:r>
          </w:p>
          <w:p w14:paraId="5D5D7410" w14:textId="77777777" w:rsidR="00E9199B" w:rsidRPr="00E9199B" w:rsidRDefault="00E9199B" w:rsidP="00835EC8">
            <w:pPr>
              <w:numPr>
                <w:ilvl w:val="0"/>
                <w:numId w:val="1"/>
              </w:numPr>
              <w:spacing w:line="360" w:lineRule="auto"/>
              <w:rPr>
                <w:szCs w:val="20"/>
              </w:rPr>
            </w:pPr>
            <w:r w:rsidRPr="00E9199B">
              <w:rPr>
                <w:szCs w:val="20"/>
              </w:rPr>
              <w:t>Identifies possible variances for authorisation.</w:t>
            </w:r>
          </w:p>
          <w:p w14:paraId="781709AD" w14:textId="77777777" w:rsidR="00835EC8" w:rsidRPr="00835EC8" w:rsidRDefault="00835EC8" w:rsidP="00835EC8">
            <w:pPr>
              <w:numPr>
                <w:ilvl w:val="0"/>
                <w:numId w:val="1"/>
              </w:numPr>
              <w:spacing w:line="360" w:lineRule="auto"/>
              <w:rPr>
                <w:szCs w:val="20"/>
              </w:rPr>
            </w:pPr>
            <w:r w:rsidRPr="00835EC8">
              <w:rPr>
                <w:szCs w:val="20"/>
              </w:rPr>
              <w:t>Comprehensive contract schedules/SLAs are authorised and agreed with customer.</w:t>
            </w:r>
          </w:p>
          <w:p w14:paraId="40756168" w14:textId="4AA77C4C" w:rsidR="00835EC8" w:rsidRPr="00835EC8" w:rsidRDefault="00835EC8" w:rsidP="00835EC8">
            <w:pPr>
              <w:numPr>
                <w:ilvl w:val="0"/>
                <w:numId w:val="1"/>
              </w:numPr>
              <w:spacing w:line="360" w:lineRule="auto"/>
              <w:rPr>
                <w:szCs w:val="20"/>
              </w:rPr>
            </w:pPr>
            <w:r w:rsidRPr="00835EC8">
              <w:rPr>
                <w:szCs w:val="20"/>
              </w:rPr>
              <w:t>Understands and deploys alternative commercial approaches.</w:t>
            </w:r>
          </w:p>
          <w:p w14:paraId="7226A427" w14:textId="77777777" w:rsidR="00835EC8" w:rsidRPr="00835EC8" w:rsidRDefault="00835EC8" w:rsidP="00835EC8">
            <w:pPr>
              <w:numPr>
                <w:ilvl w:val="0"/>
                <w:numId w:val="1"/>
              </w:numPr>
              <w:spacing w:line="360" w:lineRule="auto"/>
              <w:rPr>
                <w:szCs w:val="20"/>
              </w:rPr>
            </w:pPr>
            <w:r w:rsidRPr="00835EC8">
              <w:rPr>
                <w:szCs w:val="20"/>
              </w:rPr>
              <w:t>All known issues tabled openly to enable informed business decisions to be taken.</w:t>
            </w:r>
          </w:p>
          <w:p w14:paraId="3C2FBB25" w14:textId="301FB0D7" w:rsidR="00835EC8" w:rsidRPr="00835EC8" w:rsidRDefault="00835EC8" w:rsidP="00835EC8">
            <w:pPr>
              <w:numPr>
                <w:ilvl w:val="0"/>
                <w:numId w:val="1"/>
              </w:numPr>
              <w:spacing w:line="360" w:lineRule="auto"/>
              <w:rPr>
                <w:szCs w:val="20"/>
              </w:rPr>
            </w:pPr>
            <w:r w:rsidRPr="00835EC8">
              <w:rPr>
                <w:szCs w:val="20"/>
              </w:rPr>
              <w:t>Understanding by others of risk that variance from standard policy might create, and how therefore to mitigate.</w:t>
            </w:r>
          </w:p>
          <w:p w14:paraId="0E2B4BAB" w14:textId="77777777" w:rsidR="00835EC8" w:rsidRPr="00835EC8" w:rsidRDefault="00835EC8" w:rsidP="00835EC8">
            <w:pPr>
              <w:numPr>
                <w:ilvl w:val="0"/>
                <w:numId w:val="1"/>
              </w:numPr>
              <w:spacing w:line="360" w:lineRule="auto"/>
              <w:rPr>
                <w:szCs w:val="20"/>
              </w:rPr>
            </w:pPr>
            <w:r w:rsidRPr="00835EC8">
              <w:rPr>
                <w:szCs w:val="20"/>
              </w:rPr>
              <w:t>Increased level of applied skill and knowledge.</w:t>
            </w:r>
          </w:p>
          <w:p w14:paraId="2E028EB4" w14:textId="77777777" w:rsidR="00835EC8" w:rsidRPr="00835EC8" w:rsidRDefault="00835EC8" w:rsidP="00835EC8">
            <w:pPr>
              <w:numPr>
                <w:ilvl w:val="0"/>
                <w:numId w:val="1"/>
              </w:numPr>
              <w:spacing w:line="360" w:lineRule="auto"/>
              <w:rPr>
                <w:szCs w:val="20"/>
              </w:rPr>
            </w:pPr>
            <w:r w:rsidRPr="00835EC8">
              <w:rPr>
                <w:szCs w:val="20"/>
              </w:rPr>
              <w:t>Is self-motivated and motivates others to achieve.</w:t>
            </w:r>
          </w:p>
          <w:p w14:paraId="33294FFB" w14:textId="77777777" w:rsidR="00835EC8" w:rsidRPr="00835EC8" w:rsidRDefault="00835EC8" w:rsidP="00835EC8">
            <w:pPr>
              <w:numPr>
                <w:ilvl w:val="0"/>
                <w:numId w:val="1"/>
              </w:numPr>
              <w:spacing w:line="360" w:lineRule="auto"/>
              <w:rPr>
                <w:szCs w:val="20"/>
              </w:rPr>
            </w:pPr>
            <w:r w:rsidRPr="00835EC8">
              <w:rPr>
                <w:szCs w:val="20"/>
              </w:rPr>
              <w:t>Individual objectives set and achieved.</w:t>
            </w:r>
          </w:p>
          <w:p w14:paraId="64C2D9AF" w14:textId="577EFF7E" w:rsidR="00FF2C26" w:rsidRPr="00B359E9" w:rsidRDefault="00FF2C26" w:rsidP="00835EC8">
            <w:pPr>
              <w:ind w:left="360"/>
              <w:rPr>
                <w:sz w:val="18"/>
                <w:szCs w:val="18"/>
              </w:rPr>
            </w:pPr>
          </w:p>
        </w:tc>
      </w:tr>
    </w:tbl>
    <w:p w14:paraId="265A1943" w14:textId="77777777" w:rsidR="00FF2C26" w:rsidRPr="00D57361" w:rsidRDefault="00FF2C26" w:rsidP="00FF2C26">
      <w:pPr>
        <w:rPr>
          <w:rFonts w:cs="Arial"/>
          <w:bCs/>
          <w:szCs w:val="22"/>
          <w:lang w:val="en-US"/>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0031"/>
      </w:tblGrid>
      <w:tr w:rsidR="00FF2C26" w:rsidRPr="00D57361" w14:paraId="20582C6B" w14:textId="77777777" w:rsidTr="00FE7E7A">
        <w:trPr>
          <w:trHeight w:val="340"/>
        </w:trPr>
        <w:tc>
          <w:tcPr>
            <w:tcW w:w="10031" w:type="dxa"/>
            <w:shd w:val="clear" w:color="auto" w:fill="FF0000"/>
            <w:vAlign w:val="center"/>
          </w:tcPr>
          <w:p w14:paraId="6987F894" w14:textId="5EC4AE6A" w:rsidR="00FF2C26" w:rsidRPr="00F32C7E" w:rsidRDefault="00FF2C26" w:rsidP="00EB2F02">
            <w:pPr>
              <w:pStyle w:val="Heading1"/>
              <w:spacing w:before="120" w:after="120"/>
              <w:outlineLvl w:val="0"/>
              <w:rPr>
                <w:rFonts w:ascii="Fujitsu Infinity Pro" w:hAnsi="Fujitsu Infinity Pro" w:cs="Arial"/>
                <w:bCs w:val="0"/>
                <w:color w:val="FFFFFF" w:themeColor="background1"/>
                <w:szCs w:val="22"/>
                <w:lang w:val="en-US"/>
              </w:rPr>
            </w:pPr>
            <w:r w:rsidRPr="00D64B87">
              <w:rPr>
                <w:rFonts w:ascii="Fujitsu Infinity Pro" w:hAnsi="Fujitsu Infinity Pro" w:cs="Arial"/>
                <w:bCs w:val="0"/>
                <w:color w:val="FFFFFF" w:themeColor="background1"/>
                <w:sz w:val="24"/>
                <w:szCs w:val="22"/>
                <w:lang w:val="en-US"/>
              </w:rPr>
              <w:t xml:space="preserve">Mandatory </w:t>
            </w:r>
            <w:r w:rsidR="00F32C7E" w:rsidRPr="00D64B87">
              <w:rPr>
                <w:rFonts w:ascii="Fujitsu Infinity Pro" w:hAnsi="Fujitsu Infinity Pro" w:cs="Arial"/>
                <w:bCs w:val="0"/>
                <w:color w:val="FFFFFF" w:themeColor="background1"/>
                <w:sz w:val="24"/>
                <w:szCs w:val="22"/>
                <w:lang w:val="en-US"/>
              </w:rPr>
              <w:t>q</w:t>
            </w:r>
            <w:r w:rsidRPr="00D64B87">
              <w:rPr>
                <w:rFonts w:ascii="Fujitsu Infinity Pro" w:hAnsi="Fujitsu Infinity Pro" w:cs="Arial"/>
                <w:bCs w:val="0"/>
                <w:color w:val="FFFFFF" w:themeColor="background1"/>
                <w:sz w:val="24"/>
                <w:szCs w:val="22"/>
                <w:lang w:val="en-US"/>
              </w:rPr>
              <w:t>ualifications</w:t>
            </w:r>
            <w:r w:rsidR="00436EC3" w:rsidRPr="00D64B87">
              <w:rPr>
                <w:rFonts w:ascii="Fujitsu Infinity Pro" w:hAnsi="Fujitsu Infinity Pro" w:cs="Arial"/>
                <w:bCs w:val="0"/>
                <w:color w:val="FFFFFF" w:themeColor="background1"/>
                <w:sz w:val="24"/>
                <w:szCs w:val="22"/>
                <w:lang w:val="en-US"/>
              </w:rPr>
              <w:t xml:space="preserve"> </w:t>
            </w:r>
            <w:r w:rsidR="00F32C7E" w:rsidRPr="00D64B87">
              <w:rPr>
                <w:rFonts w:ascii="Fujitsu Infinity Pro" w:hAnsi="Fujitsu Infinity Pro" w:cs="Arial"/>
                <w:bCs w:val="0"/>
                <w:color w:val="FFFFFF" w:themeColor="background1"/>
                <w:sz w:val="24"/>
                <w:szCs w:val="22"/>
                <w:lang w:val="en-US"/>
              </w:rPr>
              <w:t>and e</w:t>
            </w:r>
            <w:r w:rsidR="00436EC3" w:rsidRPr="00D64B87">
              <w:rPr>
                <w:rFonts w:ascii="Fujitsu Infinity Pro" w:hAnsi="Fujitsu Infinity Pro" w:cs="Arial"/>
                <w:bCs w:val="0"/>
                <w:color w:val="FFFFFF" w:themeColor="background1"/>
                <w:sz w:val="24"/>
                <w:szCs w:val="22"/>
                <w:lang w:val="en-US"/>
              </w:rPr>
              <w:t>xperience</w:t>
            </w:r>
            <w:r w:rsidR="00436EC3" w:rsidRPr="00F32C7E">
              <w:rPr>
                <w:rFonts w:ascii="Fujitsu Infinity Pro" w:hAnsi="Fujitsu Infinity Pro" w:cs="Arial"/>
                <w:bCs w:val="0"/>
                <w:color w:val="FFFFFF" w:themeColor="background1"/>
                <w:szCs w:val="22"/>
                <w:lang w:val="en-US"/>
              </w:rPr>
              <w:t xml:space="preserve"> </w:t>
            </w:r>
          </w:p>
        </w:tc>
      </w:tr>
      <w:tr w:rsidR="00FF2C26" w:rsidRPr="00D57361" w14:paraId="0F0887E1" w14:textId="77777777" w:rsidTr="00EB2F02">
        <w:tc>
          <w:tcPr>
            <w:tcW w:w="10031" w:type="dxa"/>
            <w:vAlign w:val="center"/>
          </w:tcPr>
          <w:p w14:paraId="2F9D3960" w14:textId="77777777" w:rsidR="00436EC3" w:rsidRPr="00436EC3" w:rsidRDefault="00436EC3" w:rsidP="0099512F">
            <w:pPr>
              <w:numPr>
                <w:ilvl w:val="0"/>
                <w:numId w:val="1"/>
              </w:numPr>
              <w:spacing w:line="360" w:lineRule="auto"/>
              <w:rPr>
                <w:szCs w:val="20"/>
              </w:rPr>
            </w:pPr>
            <w:r w:rsidRPr="00436EC3">
              <w:rPr>
                <w:szCs w:val="20"/>
              </w:rPr>
              <w:t>Typically has legal tertiary education qualification (degree or equivalent).</w:t>
            </w:r>
          </w:p>
          <w:p w14:paraId="75B1D411" w14:textId="77777777" w:rsidR="00FF2C26" w:rsidRPr="0099512F" w:rsidRDefault="00561D6F" w:rsidP="0099512F">
            <w:pPr>
              <w:numPr>
                <w:ilvl w:val="0"/>
                <w:numId w:val="1"/>
              </w:numPr>
              <w:spacing w:line="360" w:lineRule="auto"/>
              <w:rPr>
                <w:szCs w:val="20"/>
              </w:rPr>
            </w:pPr>
            <w:r w:rsidRPr="0099512F">
              <w:rPr>
                <w:szCs w:val="20"/>
              </w:rPr>
              <w:t>Typically has 5+ years’ experience</w:t>
            </w:r>
            <w:r w:rsidR="00C352C3" w:rsidRPr="0099512F">
              <w:rPr>
                <w:szCs w:val="20"/>
              </w:rPr>
              <w:t>.</w:t>
            </w:r>
          </w:p>
          <w:p w14:paraId="4221976C" w14:textId="77777777" w:rsidR="00C352C3" w:rsidRPr="0099512F" w:rsidRDefault="00C352C3" w:rsidP="0099512F">
            <w:pPr>
              <w:numPr>
                <w:ilvl w:val="0"/>
                <w:numId w:val="1"/>
              </w:numPr>
              <w:spacing w:line="360" w:lineRule="auto"/>
              <w:rPr>
                <w:szCs w:val="20"/>
              </w:rPr>
            </w:pPr>
            <w:r w:rsidRPr="00C352C3">
              <w:rPr>
                <w:szCs w:val="20"/>
              </w:rPr>
              <w:t>Able to translate impact of negotiated terms on P&amp;L, risk to delivery etc.</w:t>
            </w:r>
          </w:p>
          <w:p w14:paraId="1B751E2F" w14:textId="77777777" w:rsidR="00C352C3" w:rsidRPr="0099512F" w:rsidRDefault="00D21F66" w:rsidP="0099512F">
            <w:pPr>
              <w:numPr>
                <w:ilvl w:val="0"/>
                <w:numId w:val="1"/>
              </w:numPr>
              <w:spacing w:line="360" w:lineRule="auto"/>
              <w:rPr>
                <w:szCs w:val="20"/>
              </w:rPr>
            </w:pPr>
            <w:r w:rsidRPr="0099512F">
              <w:rPr>
                <w:szCs w:val="20"/>
              </w:rPr>
              <w:t>Experience of working with Deal Structures, Contract Structures (T’s &amp; C’s) and Schedules.</w:t>
            </w:r>
          </w:p>
          <w:p w14:paraId="075B5DEF" w14:textId="77777777" w:rsidR="00D21F66" w:rsidRPr="0099512F" w:rsidRDefault="00D21F66" w:rsidP="0099512F">
            <w:pPr>
              <w:numPr>
                <w:ilvl w:val="0"/>
                <w:numId w:val="1"/>
              </w:numPr>
              <w:spacing w:line="360" w:lineRule="auto"/>
              <w:rPr>
                <w:szCs w:val="20"/>
              </w:rPr>
            </w:pPr>
            <w:r w:rsidRPr="0099512F">
              <w:rPr>
                <w:szCs w:val="20"/>
              </w:rPr>
              <w:t>Good and developing legal awareness.</w:t>
            </w:r>
          </w:p>
          <w:p w14:paraId="572F51CB" w14:textId="77777777" w:rsidR="00D21F66" w:rsidRPr="0099512F" w:rsidRDefault="00D21F66" w:rsidP="0099512F">
            <w:pPr>
              <w:numPr>
                <w:ilvl w:val="0"/>
                <w:numId w:val="1"/>
              </w:numPr>
              <w:spacing w:line="360" w:lineRule="auto"/>
              <w:rPr>
                <w:szCs w:val="20"/>
              </w:rPr>
            </w:pPr>
            <w:r w:rsidRPr="0099512F">
              <w:rPr>
                <w:szCs w:val="20"/>
              </w:rPr>
              <w:t>Good and developing Risk Management skills.</w:t>
            </w:r>
          </w:p>
          <w:p w14:paraId="71ACD8DD" w14:textId="2BE21610" w:rsidR="00D21F66" w:rsidRPr="00561D6F" w:rsidRDefault="00D21F66" w:rsidP="00D21F66">
            <w:pPr>
              <w:pStyle w:val="ListParagraph"/>
              <w:ind w:left="360"/>
              <w:rPr>
                <w:bCs/>
                <w:szCs w:val="22"/>
                <w:lang w:val="en-GB" w:eastAsia="en-GB"/>
              </w:rPr>
            </w:pPr>
          </w:p>
        </w:tc>
      </w:tr>
    </w:tbl>
    <w:p w14:paraId="5551844D" w14:textId="77777777" w:rsidR="00FF2C26" w:rsidRPr="00D57361" w:rsidRDefault="00FF2C26" w:rsidP="00FF2C26">
      <w:pPr>
        <w:spacing w:after="120"/>
        <w:rPr>
          <w:rFonts w:cs="Arial"/>
          <w:bCs/>
          <w:szCs w:val="22"/>
          <w:lang w:val="en-US"/>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0031"/>
      </w:tblGrid>
      <w:tr w:rsidR="00FF2C26" w:rsidRPr="00E73106" w14:paraId="38CFBC81" w14:textId="77777777" w:rsidTr="00FB038F">
        <w:trPr>
          <w:trHeight w:val="340"/>
        </w:trPr>
        <w:tc>
          <w:tcPr>
            <w:tcW w:w="10031" w:type="dxa"/>
            <w:shd w:val="clear" w:color="auto" w:fill="FF0000"/>
            <w:vAlign w:val="center"/>
          </w:tcPr>
          <w:p w14:paraId="334D5557" w14:textId="1DFB7B41" w:rsidR="00FF2C26" w:rsidRPr="000F6916" w:rsidRDefault="000F6916" w:rsidP="00EB2F02">
            <w:pPr>
              <w:pStyle w:val="Heading1"/>
              <w:spacing w:before="120" w:after="120"/>
              <w:outlineLvl w:val="0"/>
              <w:rPr>
                <w:rFonts w:ascii="Fujitsu Infinity Pro" w:hAnsi="Fujitsu Infinity Pro" w:cs="Arial"/>
                <w:bCs w:val="0"/>
                <w:color w:val="FFFFFF" w:themeColor="background1"/>
                <w:szCs w:val="22"/>
                <w:lang w:val="en-US"/>
              </w:rPr>
            </w:pPr>
            <w:r w:rsidRPr="004477BD">
              <w:rPr>
                <w:rFonts w:ascii="Fujitsu Infinity Pro" w:hAnsi="Fujitsu Infinity Pro" w:cs="Arial"/>
                <w:bCs w:val="0"/>
                <w:color w:val="FFFFFF" w:themeColor="background1"/>
                <w:sz w:val="24"/>
                <w:szCs w:val="22"/>
                <w:lang w:val="en-US"/>
              </w:rPr>
              <w:lastRenderedPageBreak/>
              <w:t>Key relationships</w:t>
            </w:r>
          </w:p>
        </w:tc>
      </w:tr>
      <w:tr w:rsidR="00FF2C26" w:rsidRPr="00E73106" w14:paraId="2864CBC3" w14:textId="77777777" w:rsidTr="00EB2F02">
        <w:tc>
          <w:tcPr>
            <w:tcW w:w="10031" w:type="dxa"/>
            <w:vAlign w:val="center"/>
          </w:tcPr>
          <w:p w14:paraId="44DD4EE0" w14:textId="223AA45F" w:rsidR="000F6916" w:rsidRPr="00EC13F3" w:rsidRDefault="000F6916" w:rsidP="00EC13F3">
            <w:pPr>
              <w:pStyle w:val="Header"/>
              <w:numPr>
                <w:ilvl w:val="0"/>
                <w:numId w:val="7"/>
              </w:numPr>
              <w:tabs>
                <w:tab w:val="clear" w:pos="4536"/>
                <w:tab w:val="clear" w:pos="9072"/>
              </w:tabs>
              <w:spacing w:line="360" w:lineRule="auto"/>
              <w:jc w:val="both"/>
              <w:rPr>
                <w:szCs w:val="20"/>
              </w:rPr>
            </w:pPr>
            <w:r w:rsidRPr="00EC13F3">
              <w:rPr>
                <w:szCs w:val="20"/>
              </w:rPr>
              <w:t>Supports a number of deals at any point in time, or a large line of business, under supervision where appropriate.</w:t>
            </w:r>
          </w:p>
          <w:p w14:paraId="7C27F8BF" w14:textId="3F96F526" w:rsidR="000F6916" w:rsidRPr="00EC13F3" w:rsidRDefault="000F6916" w:rsidP="00EC13F3">
            <w:pPr>
              <w:pStyle w:val="Header"/>
              <w:numPr>
                <w:ilvl w:val="0"/>
                <w:numId w:val="7"/>
              </w:numPr>
              <w:tabs>
                <w:tab w:val="clear" w:pos="4536"/>
                <w:tab w:val="clear" w:pos="9072"/>
              </w:tabs>
              <w:spacing w:line="360" w:lineRule="auto"/>
              <w:jc w:val="both"/>
              <w:rPr>
                <w:szCs w:val="20"/>
              </w:rPr>
            </w:pPr>
            <w:r w:rsidRPr="00EC13F3">
              <w:rPr>
                <w:szCs w:val="20"/>
              </w:rPr>
              <w:t>Fronts customer negotiations on commercial aspects and judges areas of issue capable of resolution or which require escalation with recommended approach.</w:t>
            </w:r>
          </w:p>
          <w:p w14:paraId="1D47969D" w14:textId="5CEB686E" w:rsidR="000F6916" w:rsidRPr="00EC13F3" w:rsidRDefault="000F6916" w:rsidP="00EC13F3">
            <w:pPr>
              <w:pStyle w:val="Header"/>
              <w:numPr>
                <w:ilvl w:val="0"/>
                <w:numId w:val="7"/>
              </w:numPr>
              <w:tabs>
                <w:tab w:val="clear" w:pos="4536"/>
                <w:tab w:val="clear" w:pos="9072"/>
              </w:tabs>
              <w:spacing w:line="360" w:lineRule="auto"/>
              <w:jc w:val="both"/>
              <w:rPr>
                <w:szCs w:val="20"/>
              </w:rPr>
            </w:pPr>
            <w:r w:rsidRPr="00EC13F3">
              <w:rPr>
                <w:szCs w:val="20"/>
              </w:rPr>
              <w:t>Supports governance and business education requirements.</w:t>
            </w:r>
          </w:p>
          <w:p w14:paraId="1CC76BA6" w14:textId="77777777" w:rsidR="00FF2C26" w:rsidRDefault="00EC13F3" w:rsidP="00EC13F3">
            <w:pPr>
              <w:pStyle w:val="Header"/>
              <w:numPr>
                <w:ilvl w:val="0"/>
                <w:numId w:val="7"/>
              </w:numPr>
              <w:tabs>
                <w:tab w:val="clear" w:pos="4536"/>
                <w:tab w:val="clear" w:pos="9072"/>
              </w:tabs>
              <w:spacing w:line="360" w:lineRule="auto"/>
              <w:jc w:val="both"/>
              <w:rPr>
                <w:szCs w:val="20"/>
              </w:rPr>
            </w:pPr>
            <w:r w:rsidRPr="00EC13F3">
              <w:rPr>
                <w:szCs w:val="20"/>
              </w:rPr>
              <w:t>Full analysis of legal requirements of contracts and  associated risks</w:t>
            </w:r>
            <w:r>
              <w:rPr>
                <w:szCs w:val="20"/>
              </w:rPr>
              <w:t>.</w:t>
            </w:r>
          </w:p>
          <w:p w14:paraId="06E2084B" w14:textId="03F30304" w:rsidR="00302837" w:rsidRPr="00EC13F3" w:rsidRDefault="00302837" w:rsidP="00302837">
            <w:pPr>
              <w:pStyle w:val="Header"/>
              <w:tabs>
                <w:tab w:val="clear" w:pos="4536"/>
                <w:tab w:val="clear" w:pos="9072"/>
              </w:tabs>
              <w:spacing w:line="360" w:lineRule="auto"/>
              <w:ind w:left="360"/>
              <w:jc w:val="both"/>
              <w:rPr>
                <w:szCs w:val="20"/>
              </w:rPr>
            </w:pPr>
          </w:p>
        </w:tc>
      </w:tr>
    </w:tbl>
    <w:p w14:paraId="3DE9B941" w14:textId="77777777" w:rsidR="00FF2C26" w:rsidRPr="00D57361" w:rsidRDefault="00FF2C26" w:rsidP="00FF2C26">
      <w:pPr>
        <w:spacing w:after="120"/>
        <w:rPr>
          <w:rFonts w:cs="Arial"/>
          <w:bCs/>
          <w:sz w:val="12"/>
          <w:szCs w:val="22"/>
          <w:lang w:val="en-US"/>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0031"/>
      </w:tblGrid>
      <w:tr w:rsidR="00FF2C26" w:rsidRPr="00D57361" w14:paraId="7B5ECC22" w14:textId="77777777" w:rsidTr="00F9520B">
        <w:trPr>
          <w:trHeight w:val="340"/>
        </w:trPr>
        <w:tc>
          <w:tcPr>
            <w:tcW w:w="10031" w:type="dxa"/>
            <w:shd w:val="clear" w:color="auto" w:fill="FF0000"/>
            <w:vAlign w:val="center"/>
          </w:tcPr>
          <w:p w14:paraId="4A74BC0B" w14:textId="5658FFB3" w:rsidR="00FF2C26" w:rsidRPr="00FF2C26" w:rsidRDefault="004477BD" w:rsidP="00EB2F02">
            <w:pPr>
              <w:pStyle w:val="Heading1"/>
              <w:spacing w:before="120" w:after="120"/>
              <w:outlineLvl w:val="0"/>
              <w:rPr>
                <w:rFonts w:ascii="Fujitsu Infinity Pro" w:hAnsi="Fujitsu Infinity Pro" w:cs="Arial"/>
                <w:b w:val="0"/>
                <w:color w:val="FFFFFF" w:themeColor="background1"/>
                <w:sz w:val="24"/>
                <w:szCs w:val="22"/>
                <w:lang w:val="en-US"/>
              </w:rPr>
            </w:pPr>
            <w:r w:rsidRPr="004477BD">
              <w:rPr>
                <w:rFonts w:ascii="Fujitsu Infinity Pro" w:hAnsi="Fujitsu Infinity Pro" w:cs="Arial"/>
                <w:bCs w:val="0"/>
                <w:color w:val="FFFFFF" w:themeColor="background1"/>
                <w:sz w:val="24"/>
                <w:szCs w:val="22"/>
                <w:lang w:val="en-US"/>
              </w:rPr>
              <w:t>Competencies</w:t>
            </w:r>
          </w:p>
        </w:tc>
      </w:tr>
      <w:tr w:rsidR="00FF2C26" w:rsidRPr="00D57361" w14:paraId="720642DB" w14:textId="77777777" w:rsidTr="00EB2F02">
        <w:tc>
          <w:tcPr>
            <w:tcW w:w="10031" w:type="dxa"/>
            <w:vAlign w:val="cente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1"/>
              <w:gridCol w:w="262"/>
            </w:tblGrid>
            <w:tr w:rsidR="00FF2C26" w:rsidRPr="00D57361" w14:paraId="2E4A00D6" w14:textId="77777777" w:rsidTr="00EB2F02">
              <w:tc>
                <w:tcPr>
                  <w:tcW w:w="9661" w:type="dxa"/>
                </w:tcPr>
                <w:p w14:paraId="22114906"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Analysis &amp; Problem Solving</w:t>
                  </w:r>
                </w:p>
                <w:p w14:paraId="251AA180" w14:textId="133474C3"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Legal contract analysis and decision making ability.</w:t>
                  </w:r>
                </w:p>
                <w:p w14:paraId="518EC0B2"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Decision Making</w:t>
                  </w:r>
                </w:p>
                <w:p w14:paraId="61083EA2"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Communication &amp; Presentation</w:t>
                  </w:r>
                </w:p>
                <w:p w14:paraId="0097149C"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Interpersonal Relationships (Working with Others)</w:t>
                  </w:r>
                </w:p>
                <w:p w14:paraId="708D1D02"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Business &amp; Commercial Awareness</w:t>
                  </w:r>
                </w:p>
                <w:p w14:paraId="3FE3FE63"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 xml:space="preserve">Creativity &amp; Innovation                                                            </w:t>
                  </w:r>
                </w:p>
                <w:p w14:paraId="376C7009"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Influence &amp; Negotiation</w:t>
                  </w:r>
                </w:p>
                <w:p w14:paraId="6ABC8059"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Attention to Detail</w:t>
                  </w:r>
                </w:p>
                <w:p w14:paraId="6841680B"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Planning &amp; Organising</w:t>
                  </w:r>
                </w:p>
                <w:p w14:paraId="30415027"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Team Work</w:t>
                  </w:r>
                </w:p>
                <w:p w14:paraId="42F75BDC"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People Management</w:t>
                  </w:r>
                </w:p>
                <w:p w14:paraId="5FF77EA8"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Dealing with Ambiguity</w:t>
                  </w:r>
                </w:p>
                <w:p w14:paraId="1FE860D0" w14:textId="7777777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Organisational Sensitivity</w:t>
                  </w:r>
                </w:p>
                <w:p w14:paraId="5E701E8D" w14:textId="30D6D837" w:rsidR="00E022FE" w:rsidRPr="00E022FE" w:rsidRDefault="00E022FE" w:rsidP="00E022FE">
                  <w:pPr>
                    <w:pStyle w:val="Header"/>
                    <w:numPr>
                      <w:ilvl w:val="0"/>
                      <w:numId w:val="7"/>
                    </w:numPr>
                    <w:tabs>
                      <w:tab w:val="clear" w:pos="4536"/>
                      <w:tab w:val="clear" w:pos="9072"/>
                    </w:tabs>
                    <w:spacing w:line="360" w:lineRule="auto"/>
                    <w:jc w:val="both"/>
                    <w:rPr>
                      <w:szCs w:val="20"/>
                    </w:rPr>
                  </w:pPr>
                  <w:r w:rsidRPr="00E022FE">
                    <w:rPr>
                      <w:szCs w:val="20"/>
                    </w:rPr>
                    <w:t>Professional/Technical Specialisation</w:t>
                  </w:r>
                </w:p>
                <w:p w14:paraId="29BBE80C" w14:textId="1169D330" w:rsidR="00FF2C26" w:rsidRPr="00FF7BEF" w:rsidRDefault="00FF2C26" w:rsidP="00F3209B">
                  <w:pPr>
                    <w:shd w:val="clear" w:color="auto" w:fill="FFFFFF"/>
                    <w:textAlignment w:val="baseline"/>
                    <w:rPr>
                      <w:rFonts w:cs="CIDFont+F2"/>
                      <w:b/>
                      <w:szCs w:val="22"/>
                      <w:lang w:eastAsia="de-DE"/>
                    </w:rPr>
                  </w:pPr>
                </w:p>
              </w:tc>
              <w:tc>
                <w:tcPr>
                  <w:tcW w:w="262" w:type="dxa"/>
                  <w:vAlign w:val="center"/>
                </w:tcPr>
                <w:p w14:paraId="28C1CFB4" w14:textId="77777777" w:rsidR="00FF2C26" w:rsidRPr="00D57361" w:rsidRDefault="00FF2C26" w:rsidP="00EB2F02">
                  <w:pPr>
                    <w:rPr>
                      <w:u w:val="single"/>
                      <w:lang w:val="en-US"/>
                    </w:rPr>
                  </w:pPr>
                </w:p>
              </w:tc>
            </w:tr>
            <w:tr w:rsidR="00FF2C26" w:rsidRPr="00D57361" w14:paraId="6ECE3C5C" w14:textId="77777777" w:rsidTr="00EB2F02">
              <w:tc>
                <w:tcPr>
                  <w:tcW w:w="9661" w:type="dxa"/>
                </w:tcPr>
                <w:p w14:paraId="0BA7E428" w14:textId="77777777" w:rsidR="00FF2C26" w:rsidRPr="00615502" w:rsidRDefault="00FF2C26" w:rsidP="00EB2F02">
                  <w:pPr>
                    <w:rPr>
                      <w:lang w:val="en-US"/>
                    </w:rPr>
                  </w:pPr>
                </w:p>
              </w:tc>
              <w:tc>
                <w:tcPr>
                  <w:tcW w:w="262" w:type="dxa"/>
                </w:tcPr>
                <w:p w14:paraId="42E88F4C" w14:textId="77777777" w:rsidR="00FF2C26" w:rsidRPr="00D57361" w:rsidRDefault="00FF2C26" w:rsidP="00EB2F02">
                  <w:pPr>
                    <w:pStyle w:val="ListParagraph"/>
                    <w:ind w:left="360"/>
                    <w:rPr>
                      <w:lang w:val="en-US"/>
                    </w:rPr>
                  </w:pPr>
                </w:p>
              </w:tc>
            </w:tr>
          </w:tbl>
          <w:p w14:paraId="78EE88E2" w14:textId="77777777" w:rsidR="00FF2C26" w:rsidRPr="00D57361" w:rsidRDefault="00FF2C26" w:rsidP="00EB2F02">
            <w:pPr>
              <w:rPr>
                <w:lang w:val="en-US"/>
              </w:rPr>
            </w:pPr>
          </w:p>
        </w:tc>
      </w:tr>
    </w:tbl>
    <w:p w14:paraId="753FB607" w14:textId="77777777" w:rsidR="00FF2C26" w:rsidRPr="00D57361" w:rsidRDefault="00FF2C26" w:rsidP="00FF2C26">
      <w:pPr>
        <w:rPr>
          <w:rFonts w:cs="Arial"/>
          <w:sz w:val="12"/>
          <w:szCs w:val="22"/>
          <w:lang w:val="en-US"/>
        </w:rPr>
      </w:pPr>
    </w:p>
    <w:tbl>
      <w:tblPr>
        <w:tblStyle w:val="TableGrid"/>
        <w:tblW w:w="100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0031"/>
      </w:tblGrid>
      <w:tr w:rsidR="00D64B87" w:rsidRPr="00D57361" w14:paraId="6827EC0D" w14:textId="77777777" w:rsidTr="0058366F">
        <w:trPr>
          <w:trHeight w:val="340"/>
        </w:trPr>
        <w:tc>
          <w:tcPr>
            <w:tcW w:w="10031" w:type="dxa"/>
            <w:shd w:val="clear" w:color="auto" w:fill="FF0000"/>
            <w:vAlign w:val="center"/>
          </w:tcPr>
          <w:p w14:paraId="3AA507C5" w14:textId="3A557A5C" w:rsidR="00D64B87" w:rsidRPr="00A23673" w:rsidRDefault="00D64B87" w:rsidP="00327980">
            <w:pPr>
              <w:pStyle w:val="Heading1"/>
              <w:spacing w:before="120" w:after="120"/>
              <w:outlineLvl w:val="0"/>
              <w:rPr>
                <w:rFonts w:ascii="Fujitsu Infinity Pro" w:hAnsi="Fujitsu Infinity Pro" w:cs="Arial"/>
                <w:bCs w:val="0"/>
                <w:color w:val="FFFFFF" w:themeColor="background1"/>
                <w:sz w:val="24"/>
                <w:szCs w:val="22"/>
                <w:lang w:val="en-US"/>
              </w:rPr>
            </w:pPr>
            <w:r w:rsidRPr="00A23673">
              <w:rPr>
                <w:rFonts w:ascii="Fujitsu Infinity Pro" w:hAnsi="Fujitsu Infinity Pro" w:cs="Arial"/>
                <w:bCs w:val="0"/>
                <w:color w:val="FFFFFF" w:themeColor="background1"/>
                <w:sz w:val="24"/>
                <w:szCs w:val="22"/>
                <w:lang w:val="en-US"/>
              </w:rPr>
              <w:t>De</w:t>
            </w:r>
            <w:r w:rsidR="00B551E7" w:rsidRPr="00A23673">
              <w:rPr>
                <w:rFonts w:ascii="Fujitsu Infinity Pro" w:hAnsi="Fujitsu Infinity Pro" w:cs="Arial"/>
                <w:bCs w:val="0"/>
                <w:color w:val="FFFFFF" w:themeColor="background1"/>
                <w:sz w:val="24"/>
                <w:szCs w:val="22"/>
                <w:lang w:val="en-US"/>
              </w:rPr>
              <w:t>velopment focus</w:t>
            </w:r>
          </w:p>
        </w:tc>
      </w:tr>
      <w:tr w:rsidR="00D64B87" w:rsidRPr="00D57361" w14:paraId="0D4A1D37" w14:textId="77777777" w:rsidTr="00327980">
        <w:tc>
          <w:tcPr>
            <w:tcW w:w="10031" w:type="dxa"/>
            <w:vAlign w:val="cente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1"/>
              <w:gridCol w:w="262"/>
            </w:tblGrid>
            <w:tr w:rsidR="00D64B87" w:rsidRPr="00D57361" w14:paraId="5E8AC394" w14:textId="77777777" w:rsidTr="00327980">
              <w:tc>
                <w:tcPr>
                  <w:tcW w:w="9661" w:type="dxa"/>
                </w:tcPr>
                <w:p w14:paraId="1FD67A26" w14:textId="77777777" w:rsidR="002A74A5" w:rsidRPr="002A74A5" w:rsidRDefault="002A74A5" w:rsidP="00D20B1E">
                  <w:pPr>
                    <w:pStyle w:val="Header"/>
                    <w:numPr>
                      <w:ilvl w:val="0"/>
                      <w:numId w:val="7"/>
                    </w:numPr>
                    <w:tabs>
                      <w:tab w:val="clear" w:pos="4536"/>
                      <w:tab w:val="clear" w:pos="9072"/>
                    </w:tabs>
                    <w:spacing w:line="360" w:lineRule="auto"/>
                    <w:jc w:val="both"/>
                    <w:rPr>
                      <w:szCs w:val="20"/>
                    </w:rPr>
                  </w:pPr>
                  <w:r w:rsidRPr="002A74A5">
                    <w:rPr>
                      <w:szCs w:val="20"/>
                    </w:rPr>
                    <w:t>To progress to Commercial Director the key development areas are:</w:t>
                  </w:r>
                </w:p>
                <w:p w14:paraId="0218CC7D" w14:textId="77777777" w:rsidR="002A74A5" w:rsidRPr="002A74A5" w:rsidRDefault="002A74A5" w:rsidP="00D20B1E">
                  <w:pPr>
                    <w:pStyle w:val="Header"/>
                    <w:numPr>
                      <w:ilvl w:val="0"/>
                      <w:numId w:val="7"/>
                    </w:numPr>
                    <w:tabs>
                      <w:tab w:val="clear" w:pos="4536"/>
                      <w:tab w:val="clear" w:pos="9072"/>
                    </w:tabs>
                    <w:spacing w:line="360" w:lineRule="auto"/>
                    <w:jc w:val="both"/>
                    <w:rPr>
                      <w:szCs w:val="20"/>
                    </w:rPr>
                  </w:pPr>
                  <w:r w:rsidRPr="002A74A5">
                    <w:rPr>
                      <w:szCs w:val="20"/>
                    </w:rPr>
                    <w:t>Develop understanding of market industry and norms.</w:t>
                  </w:r>
                </w:p>
                <w:p w14:paraId="0C69923B" w14:textId="77777777" w:rsidR="002A74A5" w:rsidRPr="002A74A5" w:rsidRDefault="002A74A5" w:rsidP="00D20B1E">
                  <w:pPr>
                    <w:pStyle w:val="Header"/>
                    <w:numPr>
                      <w:ilvl w:val="0"/>
                      <w:numId w:val="7"/>
                    </w:numPr>
                    <w:tabs>
                      <w:tab w:val="clear" w:pos="4536"/>
                      <w:tab w:val="clear" w:pos="9072"/>
                    </w:tabs>
                    <w:spacing w:line="360" w:lineRule="auto"/>
                    <w:jc w:val="both"/>
                    <w:rPr>
                      <w:szCs w:val="20"/>
                    </w:rPr>
                  </w:pPr>
                  <w:r w:rsidRPr="002A74A5">
                    <w:rPr>
                      <w:szCs w:val="20"/>
                    </w:rPr>
                    <w:t>Increase understanding and application of Pricing Structures and Methodologies.</w:t>
                  </w:r>
                </w:p>
                <w:p w14:paraId="491BAB77" w14:textId="77777777" w:rsidR="002A74A5" w:rsidRPr="002A74A5" w:rsidRDefault="002A74A5" w:rsidP="00D20B1E">
                  <w:pPr>
                    <w:pStyle w:val="Header"/>
                    <w:numPr>
                      <w:ilvl w:val="0"/>
                      <w:numId w:val="7"/>
                    </w:numPr>
                    <w:tabs>
                      <w:tab w:val="clear" w:pos="4536"/>
                      <w:tab w:val="clear" w:pos="9072"/>
                    </w:tabs>
                    <w:spacing w:line="360" w:lineRule="auto"/>
                    <w:jc w:val="both"/>
                    <w:rPr>
                      <w:szCs w:val="20"/>
                    </w:rPr>
                  </w:pPr>
                  <w:r w:rsidRPr="002A74A5">
                    <w:rPr>
                      <w:szCs w:val="20"/>
                    </w:rPr>
                    <w:t>Increased awareness of impact of decisions on the business and the customer.</w:t>
                  </w:r>
                </w:p>
                <w:p w14:paraId="458DD062" w14:textId="77777777" w:rsidR="002A74A5" w:rsidRPr="002A74A5" w:rsidRDefault="002A74A5" w:rsidP="00D20B1E">
                  <w:pPr>
                    <w:pStyle w:val="Header"/>
                    <w:numPr>
                      <w:ilvl w:val="0"/>
                      <w:numId w:val="7"/>
                    </w:numPr>
                    <w:tabs>
                      <w:tab w:val="clear" w:pos="4536"/>
                      <w:tab w:val="clear" w:pos="9072"/>
                    </w:tabs>
                    <w:spacing w:line="360" w:lineRule="auto"/>
                    <w:jc w:val="both"/>
                    <w:rPr>
                      <w:szCs w:val="20"/>
                    </w:rPr>
                  </w:pPr>
                  <w:r w:rsidRPr="002A74A5">
                    <w:rPr>
                      <w:szCs w:val="20"/>
                    </w:rPr>
                    <w:t>Increased financial awareness &amp; analysis skills.</w:t>
                  </w:r>
                </w:p>
                <w:p w14:paraId="6C801A30" w14:textId="77777777" w:rsidR="002A74A5" w:rsidRPr="002A74A5" w:rsidRDefault="002A74A5" w:rsidP="00D20B1E">
                  <w:pPr>
                    <w:pStyle w:val="Header"/>
                    <w:numPr>
                      <w:ilvl w:val="0"/>
                      <w:numId w:val="7"/>
                    </w:numPr>
                    <w:tabs>
                      <w:tab w:val="clear" w:pos="4536"/>
                      <w:tab w:val="clear" w:pos="9072"/>
                    </w:tabs>
                    <w:spacing w:line="360" w:lineRule="auto"/>
                    <w:jc w:val="both"/>
                    <w:rPr>
                      <w:szCs w:val="20"/>
                    </w:rPr>
                  </w:pPr>
                  <w:r w:rsidRPr="002A74A5">
                    <w:rPr>
                      <w:szCs w:val="20"/>
                    </w:rPr>
                    <w:t>Develop people management skills, including setting and reviewing objectives.</w:t>
                  </w:r>
                </w:p>
                <w:p w14:paraId="0979946F" w14:textId="77777777" w:rsidR="002A74A5" w:rsidRPr="002A74A5" w:rsidRDefault="002A74A5" w:rsidP="00D20B1E">
                  <w:pPr>
                    <w:pStyle w:val="Header"/>
                    <w:numPr>
                      <w:ilvl w:val="0"/>
                      <w:numId w:val="7"/>
                    </w:numPr>
                    <w:tabs>
                      <w:tab w:val="clear" w:pos="4536"/>
                      <w:tab w:val="clear" w:pos="9072"/>
                    </w:tabs>
                    <w:spacing w:line="360" w:lineRule="auto"/>
                    <w:jc w:val="both"/>
                    <w:rPr>
                      <w:szCs w:val="20"/>
                    </w:rPr>
                  </w:pPr>
                  <w:r w:rsidRPr="002A74A5">
                    <w:rPr>
                      <w:szCs w:val="20"/>
                    </w:rPr>
                    <w:t>Build understanding of project and change management principles.</w:t>
                  </w:r>
                </w:p>
                <w:p w14:paraId="0B0D07E0" w14:textId="2ECF9B85" w:rsidR="00D64B87" w:rsidRPr="00B551E7" w:rsidRDefault="002A74A5" w:rsidP="00124640">
                  <w:pPr>
                    <w:pStyle w:val="Header"/>
                    <w:numPr>
                      <w:ilvl w:val="0"/>
                      <w:numId w:val="7"/>
                    </w:numPr>
                    <w:tabs>
                      <w:tab w:val="clear" w:pos="4536"/>
                      <w:tab w:val="clear" w:pos="9072"/>
                    </w:tabs>
                    <w:spacing w:line="360" w:lineRule="auto"/>
                    <w:jc w:val="both"/>
                    <w:rPr>
                      <w:rFonts w:cs="CIDFont+F2"/>
                      <w:b/>
                      <w:szCs w:val="22"/>
                      <w:lang w:eastAsia="de-DE"/>
                    </w:rPr>
                  </w:pPr>
                  <w:r w:rsidRPr="002A74A5">
                    <w:rPr>
                      <w:szCs w:val="20"/>
                    </w:rPr>
                    <w:lastRenderedPageBreak/>
                    <w:t>Experience of managing contracts or projects in part or full (depending on size) and aligning resource appropriately</w:t>
                  </w:r>
                  <w:r w:rsidR="00124640">
                    <w:rPr>
                      <w:szCs w:val="20"/>
                    </w:rPr>
                    <w:t>.</w:t>
                  </w:r>
                </w:p>
              </w:tc>
              <w:tc>
                <w:tcPr>
                  <w:tcW w:w="262" w:type="dxa"/>
                  <w:vAlign w:val="center"/>
                </w:tcPr>
                <w:p w14:paraId="0DF3D6F9" w14:textId="77777777" w:rsidR="00D64B87" w:rsidRPr="00D57361" w:rsidRDefault="00D64B87" w:rsidP="00327980">
                  <w:pPr>
                    <w:rPr>
                      <w:u w:val="single"/>
                      <w:lang w:val="en-US"/>
                    </w:rPr>
                  </w:pPr>
                </w:p>
              </w:tc>
            </w:tr>
            <w:tr w:rsidR="00D64B87" w:rsidRPr="00D57361" w14:paraId="0278C349" w14:textId="77777777" w:rsidTr="00327980">
              <w:tc>
                <w:tcPr>
                  <w:tcW w:w="9661" w:type="dxa"/>
                </w:tcPr>
                <w:p w14:paraId="6AF1A1BA" w14:textId="77777777" w:rsidR="00D64B87" w:rsidRPr="00615502" w:rsidRDefault="00D64B87" w:rsidP="00327980">
                  <w:pPr>
                    <w:rPr>
                      <w:lang w:val="en-US"/>
                    </w:rPr>
                  </w:pPr>
                </w:p>
              </w:tc>
              <w:tc>
                <w:tcPr>
                  <w:tcW w:w="262" w:type="dxa"/>
                </w:tcPr>
                <w:p w14:paraId="52D64DF0" w14:textId="77777777" w:rsidR="00D64B87" w:rsidRPr="00D57361" w:rsidRDefault="00D64B87" w:rsidP="00327980">
                  <w:pPr>
                    <w:pStyle w:val="ListParagraph"/>
                    <w:ind w:left="360"/>
                    <w:rPr>
                      <w:lang w:val="en-US"/>
                    </w:rPr>
                  </w:pPr>
                </w:p>
              </w:tc>
            </w:tr>
          </w:tbl>
          <w:p w14:paraId="6DE88BDA" w14:textId="77777777" w:rsidR="00D64B87" w:rsidRPr="00D57361" w:rsidRDefault="00D64B87" w:rsidP="00327980">
            <w:pPr>
              <w:rPr>
                <w:lang w:val="en-US"/>
              </w:rPr>
            </w:pPr>
          </w:p>
        </w:tc>
      </w:tr>
    </w:tbl>
    <w:p w14:paraId="2C95A433" w14:textId="77777777" w:rsidR="00890B79" w:rsidRDefault="00000000"/>
    <w:sectPr w:rsidR="00890B79" w:rsidSect="00600E5F">
      <w:headerReference w:type="default" r:id="rId7"/>
      <w:footerReference w:type="default" r:id="rId8"/>
      <w:pgSz w:w="11906" w:h="16838"/>
      <w:pgMar w:top="1296" w:right="1080" w:bottom="1138" w:left="1080" w:header="706"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A7AC" w14:textId="77777777" w:rsidR="0061653E" w:rsidRDefault="0061653E" w:rsidP="00FF2C26">
      <w:r>
        <w:separator/>
      </w:r>
    </w:p>
  </w:endnote>
  <w:endnote w:type="continuationSeparator" w:id="0">
    <w:p w14:paraId="3BEFC642" w14:textId="77777777" w:rsidR="0061653E" w:rsidRDefault="0061653E" w:rsidP="00FF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jitsu Sans">
    <w:altName w:val="Calibri"/>
    <w:charset w:val="00"/>
    <w:family w:val="swiss"/>
    <w:pitch w:val="variable"/>
    <w:sig w:usb0="A00000AF" w:usb1="0000206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jitsu Infinity Pro">
    <w:panose1 w:val="00000000000000000000"/>
    <w:charset w:val="00"/>
    <w:family w:val="auto"/>
    <w:pitch w:val="variable"/>
    <w:sig w:usb0="A000004F" w:usb1="0000005B" w:usb2="00000000" w:usb3="00000000" w:csb0="00000093" w:csb1="00000000"/>
  </w:font>
  <w:font w:name="CIDFont+F2">
    <w:altName w:val="Calibri"/>
    <w:panose1 w:val="00000000000000000000"/>
    <w:charset w:val="00"/>
    <w:family w:val="auto"/>
    <w:notTrueType/>
    <w:pitch w:val="default"/>
    <w:sig w:usb0="00000003" w:usb1="00000000" w:usb2="00000000" w:usb3="00000000" w:csb0="00000001" w:csb1="00000000"/>
  </w:font>
  <w:font w:name="Fujitsu Sans Light">
    <w:altName w:val="Calibri"/>
    <w:charset w:val="00"/>
    <w:family w:val="swiss"/>
    <w:pitch w:val="variable"/>
    <w:sig w:usb0="A00000AF" w:usb1="0000206B" w:usb2="00000000" w:usb3="00000000" w:csb0="00000001" w:csb1="00000000"/>
  </w:font>
  <w:font w:name="Fujitsu Sans Medium">
    <w:altName w:val="Calibri"/>
    <w:charset w:val="00"/>
    <w:family w:val="swiss"/>
    <w:pitch w:val="variable"/>
    <w:sig w:usb0="A00000AF" w:usb1="0000206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jitsu Infinity Pro" w:hAnsi="Fujitsu Infinity Pro"/>
      </w:rPr>
      <w:id w:val="-540276234"/>
      <w:docPartObj>
        <w:docPartGallery w:val="Page Numbers (Bottom of Page)"/>
        <w:docPartUnique/>
      </w:docPartObj>
    </w:sdtPr>
    <w:sdtContent>
      <w:sdt>
        <w:sdtPr>
          <w:rPr>
            <w:rFonts w:ascii="Fujitsu Infinity Pro" w:hAnsi="Fujitsu Infinity Pro"/>
          </w:rPr>
          <w:id w:val="98381352"/>
          <w:docPartObj>
            <w:docPartGallery w:val="Page Numbers (Top of Page)"/>
            <w:docPartUnique/>
          </w:docPartObj>
        </w:sdtPr>
        <w:sdtContent>
          <w:p w14:paraId="004630C4" w14:textId="77777777" w:rsidR="007E04D4" w:rsidRPr="00FF2C26" w:rsidRDefault="00FF2C26" w:rsidP="001B3B47">
            <w:pPr>
              <w:pStyle w:val="Footer"/>
              <w:jc w:val="right"/>
              <w:rPr>
                <w:rFonts w:ascii="Fujitsu Infinity Pro" w:hAnsi="Fujitsu Infinity Pro"/>
              </w:rPr>
            </w:pPr>
            <w:r w:rsidRPr="00FF2C26">
              <w:rPr>
                <w:rFonts w:ascii="Fujitsu Infinity Pro" w:hAnsi="Fujitsu Infinity Pro"/>
              </w:rPr>
              <w:t xml:space="preserve">Page </w:t>
            </w:r>
            <w:r w:rsidRPr="00FF2C26">
              <w:rPr>
                <w:rFonts w:ascii="Fujitsu Infinity Pro" w:hAnsi="Fujitsu Infinity Pro"/>
                <w:bCs/>
                <w:sz w:val="24"/>
              </w:rPr>
              <w:fldChar w:fldCharType="begin"/>
            </w:r>
            <w:r w:rsidRPr="00FF2C26">
              <w:rPr>
                <w:rFonts w:ascii="Fujitsu Infinity Pro" w:hAnsi="Fujitsu Infinity Pro"/>
                <w:bCs/>
              </w:rPr>
              <w:instrText xml:space="preserve"> PAGE </w:instrText>
            </w:r>
            <w:r w:rsidRPr="00FF2C26">
              <w:rPr>
                <w:rFonts w:ascii="Fujitsu Infinity Pro" w:hAnsi="Fujitsu Infinity Pro"/>
                <w:bCs/>
                <w:sz w:val="24"/>
              </w:rPr>
              <w:fldChar w:fldCharType="separate"/>
            </w:r>
            <w:r w:rsidRPr="00FF2C26">
              <w:rPr>
                <w:rFonts w:ascii="Fujitsu Infinity Pro" w:hAnsi="Fujitsu Infinity Pro"/>
                <w:bCs/>
                <w:noProof/>
              </w:rPr>
              <w:t>1</w:t>
            </w:r>
            <w:r w:rsidRPr="00FF2C26">
              <w:rPr>
                <w:rFonts w:ascii="Fujitsu Infinity Pro" w:hAnsi="Fujitsu Infinity Pro"/>
                <w:bCs/>
                <w:sz w:val="24"/>
              </w:rPr>
              <w:fldChar w:fldCharType="end"/>
            </w:r>
            <w:r w:rsidRPr="00FF2C26">
              <w:rPr>
                <w:rFonts w:ascii="Fujitsu Infinity Pro" w:hAnsi="Fujitsu Infinity Pro"/>
              </w:rPr>
              <w:t xml:space="preserve"> of </w:t>
            </w:r>
            <w:r w:rsidRPr="00FF2C26">
              <w:rPr>
                <w:rFonts w:ascii="Fujitsu Infinity Pro" w:hAnsi="Fujitsu Infinity Pro"/>
                <w:bCs/>
                <w:sz w:val="24"/>
              </w:rPr>
              <w:fldChar w:fldCharType="begin"/>
            </w:r>
            <w:r w:rsidRPr="00FF2C26">
              <w:rPr>
                <w:rFonts w:ascii="Fujitsu Infinity Pro" w:hAnsi="Fujitsu Infinity Pro"/>
                <w:bCs/>
              </w:rPr>
              <w:instrText xml:space="preserve"> NUMPAGES  </w:instrText>
            </w:r>
            <w:r w:rsidRPr="00FF2C26">
              <w:rPr>
                <w:rFonts w:ascii="Fujitsu Infinity Pro" w:hAnsi="Fujitsu Infinity Pro"/>
                <w:bCs/>
                <w:sz w:val="24"/>
              </w:rPr>
              <w:fldChar w:fldCharType="separate"/>
            </w:r>
            <w:r w:rsidRPr="00FF2C26">
              <w:rPr>
                <w:rFonts w:ascii="Fujitsu Infinity Pro" w:hAnsi="Fujitsu Infinity Pro"/>
                <w:bCs/>
                <w:noProof/>
              </w:rPr>
              <w:t>2</w:t>
            </w:r>
            <w:r w:rsidRPr="00FF2C26">
              <w:rPr>
                <w:rFonts w:ascii="Fujitsu Infinity Pro" w:hAnsi="Fujitsu Infinity Pro"/>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BC2D" w14:textId="77777777" w:rsidR="0061653E" w:rsidRDefault="0061653E" w:rsidP="00FF2C26">
      <w:r>
        <w:separator/>
      </w:r>
    </w:p>
  </w:footnote>
  <w:footnote w:type="continuationSeparator" w:id="0">
    <w:p w14:paraId="3F3B9E26" w14:textId="77777777" w:rsidR="0061653E" w:rsidRDefault="0061653E" w:rsidP="00FF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2F18" w14:textId="77777777" w:rsidR="00BB7CF9" w:rsidRPr="00012EFD" w:rsidRDefault="00FF2C26">
    <w:pPr>
      <w:pStyle w:val="Header"/>
      <w:rPr>
        <w:rFonts w:ascii="Fujitsu Sans Light" w:hAnsi="Fujitsu Sans Light" w:cs="Arial"/>
        <w:color w:val="0070C0"/>
        <w:sz w:val="16"/>
        <w:lang w:val="en-US"/>
      </w:rPr>
    </w:pPr>
    <w:r w:rsidRPr="00012EFD">
      <w:rPr>
        <w:rFonts w:ascii="Fujitsu Sans Light" w:hAnsi="Fujitsu Sans Light" w:cs="Arial"/>
        <w:noProof/>
        <w:color w:val="0070C0"/>
        <w:sz w:val="16"/>
        <w:lang w:eastAsia="en-AU"/>
      </w:rPr>
      <w:drawing>
        <wp:anchor distT="0" distB="0" distL="114300" distR="114300" simplePos="0" relativeHeight="251659264" behindDoc="0" locked="0" layoutInCell="1" allowOverlap="1" wp14:anchorId="12508BBF" wp14:editId="370DE3B2">
          <wp:simplePos x="0" y="0"/>
          <wp:positionH relativeFrom="page">
            <wp:posOffset>5953124</wp:posOffset>
          </wp:positionH>
          <wp:positionV relativeFrom="page">
            <wp:posOffset>342900</wp:posOffset>
          </wp:positionV>
          <wp:extent cx="1255323" cy="589899"/>
          <wp:effectExtent l="0" t="0" r="2540" b="1270"/>
          <wp:wrapNone/>
          <wp:docPr id="2" name="Bild 1" descr="Fujits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jitsuTS"/>
                  <pic:cNvPicPr>
                    <a:picLocks noChangeAspect="1" noChangeArrowheads="1"/>
                  </pic:cNvPicPr>
                </pic:nvPicPr>
                <pic:blipFill>
                  <a:blip r:embed="rId1"/>
                  <a:srcRect/>
                  <a:stretch>
                    <a:fillRect/>
                  </a:stretch>
                </pic:blipFill>
                <pic:spPr bwMode="auto">
                  <a:xfrm>
                    <a:off x="0" y="0"/>
                    <a:ext cx="1259039" cy="591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166BA1" w14:textId="77777777" w:rsidR="00512736" w:rsidRPr="00012EFD" w:rsidRDefault="00000000">
    <w:pPr>
      <w:pStyle w:val="Header"/>
      <w:rPr>
        <w:rFonts w:ascii="Fujitsu Sans Medium" w:hAnsi="Fujitsu Sans Medium" w:cs="Arial"/>
        <w:color w:val="0070C0"/>
        <w:sz w:val="24"/>
        <w:lang w:val="en-US"/>
      </w:rPr>
    </w:pPr>
  </w:p>
  <w:p w14:paraId="3F2BFD5E" w14:textId="77777777" w:rsidR="001B3B47" w:rsidRPr="00FF7BEF" w:rsidRDefault="00FF2C26">
    <w:pPr>
      <w:pStyle w:val="Header"/>
      <w:rPr>
        <w:rFonts w:ascii="Fujitsu Infinity Pro" w:hAnsi="Fujitsu Infinity Pro" w:cs="Arial"/>
        <w:color w:val="0070C0"/>
        <w:sz w:val="24"/>
        <w:lang w:val="en-US"/>
      </w:rPr>
    </w:pPr>
    <w:r w:rsidRPr="00FF7BEF">
      <w:rPr>
        <w:rFonts w:ascii="Fujitsu Infinity Pro" w:hAnsi="Fujitsu Infinity Pro" w:cs="Arial"/>
        <w:color w:val="0070C0"/>
        <w:sz w:val="24"/>
        <w:lang w:val="en-US"/>
      </w:rPr>
      <w:t>JOB DESCRIPTION</w:t>
    </w:r>
  </w:p>
  <w:p w14:paraId="15A3DEFC" w14:textId="45174AA4" w:rsidR="00A820CD" w:rsidRPr="007554F6" w:rsidRDefault="008B618C">
    <w:pPr>
      <w:rPr>
        <w:rFonts w:ascii="Fujitsu Infinity Pro" w:hAnsi="Fujitsu Infinity Pro"/>
        <w:b/>
        <w:bCs/>
        <w:sz w:val="28"/>
        <w:szCs w:val="28"/>
      </w:rPr>
    </w:pPr>
    <w:r w:rsidRPr="007554F6">
      <w:rPr>
        <w:rFonts w:ascii="Fujitsu Infinity Pro" w:hAnsi="Fujitsu Infinity Pro"/>
        <w:b/>
        <w:bCs/>
        <w:sz w:val="28"/>
        <w:szCs w:val="28"/>
      </w:rPr>
      <w:t>Legal Counsel</w:t>
    </w:r>
  </w:p>
  <w:p w14:paraId="4AAE293C" w14:textId="77777777" w:rsidR="00441FCD"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78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7C569FA"/>
    <w:multiLevelType w:val="multilevel"/>
    <w:tmpl w:val="DC20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6140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69C0D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7C979A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B8B1FAB"/>
    <w:multiLevelType w:val="hybridMultilevel"/>
    <w:tmpl w:val="46A22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BD2AC7"/>
    <w:multiLevelType w:val="hybridMultilevel"/>
    <w:tmpl w:val="B6E875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77559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31746B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D6C1831"/>
    <w:multiLevelType w:val="hybridMultilevel"/>
    <w:tmpl w:val="46D8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256247">
    <w:abstractNumId w:val="5"/>
  </w:num>
  <w:num w:numId="2" w16cid:durableId="1666132899">
    <w:abstractNumId w:val="9"/>
  </w:num>
  <w:num w:numId="3" w16cid:durableId="236477085">
    <w:abstractNumId w:val="1"/>
  </w:num>
  <w:num w:numId="4" w16cid:durableId="1953315038">
    <w:abstractNumId w:val="4"/>
  </w:num>
  <w:num w:numId="5" w16cid:durableId="423305839">
    <w:abstractNumId w:val="8"/>
  </w:num>
  <w:num w:numId="6" w16cid:durableId="1028801309">
    <w:abstractNumId w:val="7"/>
  </w:num>
  <w:num w:numId="7" w16cid:durableId="563872905">
    <w:abstractNumId w:val="2"/>
  </w:num>
  <w:num w:numId="8" w16cid:durableId="1789424713">
    <w:abstractNumId w:val="3"/>
  </w:num>
  <w:num w:numId="9" w16cid:durableId="925462364">
    <w:abstractNumId w:val="6"/>
  </w:num>
  <w:num w:numId="10" w16cid:durableId="59363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26"/>
    <w:rsid w:val="00005A33"/>
    <w:rsid w:val="000B6C10"/>
    <w:rsid w:val="000D1CF9"/>
    <w:rsid w:val="000F6916"/>
    <w:rsid w:val="00123B47"/>
    <w:rsid w:val="00124640"/>
    <w:rsid w:val="001E2282"/>
    <w:rsid w:val="00253234"/>
    <w:rsid w:val="002563B7"/>
    <w:rsid w:val="00285224"/>
    <w:rsid w:val="00290875"/>
    <w:rsid w:val="002A74A5"/>
    <w:rsid w:val="00302837"/>
    <w:rsid w:val="003B5D74"/>
    <w:rsid w:val="004337E6"/>
    <w:rsid w:val="00436EC3"/>
    <w:rsid w:val="004477BD"/>
    <w:rsid w:val="00451292"/>
    <w:rsid w:val="004B704E"/>
    <w:rsid w:val="00560A32"/>
    <w:rsid w:val="00561D6F"/>
    <w:rsid w:val="0058366F"/>
    <w:rsid w:val="005D3864"/>
    <w:rsid w:val="005E7B96"/>
    <w:rsid w:val="00602E99"/>
    <w:rsid w:val="0061653E"/>
    <w:rsid w:val="00663AEF"/>
    <w:rsid w:val="006667D3"/>
    <w:rsid w:val="006A351B"/>
    <w:rsid w:val="006D7D80"/>
    <w:rsid w:val="00701D5A"/>
    <w:rsid w:val="007554F6"/>
    <w:rsid w:val="00835EC8"/>
    <w:rsid w:val="008B618C"/>
    <w:rsid w:val="00935A47"/>
    <w:rsid w:val="0099512F"/>
    <w:rsid w:val="00A23673"/>
    <w:rsid w:val="00AA3959"/>
    <w:rsid w:val="00B34DA0"/>
    <w:rsid w:val="00B359E9"/>
    <w:rsid w:val="00B551E7"/>
    <w:rsid w:val="00BC319C"/>
    <w:rsid w:val="00C352C3"/>
    <w:rsid w:val="00D20B1E"/>
    <w:rsid w:val="00D21F66"/>
    <w:rsid w:val="00D64B87"/>
    <w:rsid w:val="00DC453C"/>
    <w:rsid w:val="00DE7D95"/>
    <w:rsid w:val="00E022FE"/>
    <w:rsid w:val="00E9199B"/>
    <w:rsid w:val="00EC13F3"/>
    <w:rsid w:val="00F3209B"/>
    <w:rsid w:val="00F32C7E"/>
    <w:rsid w:val="00F469C1"/>
    <w:rsid w:val="00F55DC9"/>
    <w:rsid w:val="00F9520B"/>
    <w:rsid w:val="00FB038F"/>
    <w:rsid w:val="00FE7E7A"/>
    <w:rsid w:val="00FF2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E6D8"/>
  <w15:chartTrackingRefBased/>
  <w15:docId w15:val="{D052F6C4-0F09-4FEA-9E1E-87C7CF3A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26"/>
    <w:pPr>
      <w:spacing w:after="0" w:line="240" w:lineRule="auto"/>
    </w:pPr>
    <w:rPr>
      <w:rFonts w:ascii="Fujitsu Sans" w:eastAsia="MS Mincho" w:hAnsi="Fujitsu Sans" w:cs="Times New Roman"/>
      <w:szCs w:val="24"/>
      <w:lang w:eastAsia="ja-JP"/>
    </w:rPr>
  </w:style>
  <w:style w:type="paragraph" w:styleId="Heading1">
    <w:name w:val="heading 1"/>
    <w:basedOn w:val="Normal"/>
    <w:next w:val="Normal"/>
    <w:link w:val="Heading1Char"/>
    <w:qFormat/>
    <w:rsid w:val="00FF2C26"/>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C26"/>
    <w:rPr>
      <w:rFonts w:ascii="Fujitsu Sans" w:eastAsia="MS Mincho" w:hAnsi="Fujitsu Sans" w:cs="Times New Roman"/>
      <w:b/>
      <w:bCs/>
      <w:szCs w:val="24"/>
      <w:lang w:val="en-GB" w:eastAsia="ja-JP"/>
    </w:rPr>
  </w:style>
  <w:style w:type="paragraph" w:styleId="Footer">
    <w:name w:val="footer"/>
    <w:basedOn w:val="Normal"/>
    <w:next w:val="Normal"/>
    <w:link w:val="FooterChar"/>
    <w:uiPriority w:val="99"/>
    <w:rsid w:val="00FF2C26"/>
    <w:pPr>
      <w:autoSpaceDE w:val="0"/>
      <w:autoSpaceDN w:val="0"/>
      <w:adjustRightInd w:val="0"/>
    </w:pPr>
    <w:rPr>
      <w:rFonts w:ascii="Myriad Pro" w:eastAsia="Times New Roman" w:hAnsi="Myriad Pro"/>
      <w:sz w:val="20"/>
      <w:lang w:val="en-US" w:eastAsia="en-US"/>
    </w:rPr>
  </w:style>
  <w:style w:type="character" w:customStyle="1" w:styleId="FooterChar">
    <w:name w:val="Footer Char"/>
    <w:basedOn w:val="DefaultParagraphFont"/>
    <w:link w:val="Footer"/>
    <w:uiPriority w:val="99"/>
    <w:rsid w:val="00FF2C26"/>
    <w:rPr>
      <w:rFonts w:ascii="Myriad Pro" w:eastAsia="Times New Roman" w:hAnsi="Myriad Pro" w:cs="Times New Roman"/>
      <w:sz w:val="20"/>
      <w:szCs w:val="24"/>
      <w:lang w:val="en-US"/>
    </w:rPr>
  </w:style>
  <w:style w:type="paragraph" w:styleId="ListParagraph">
    <w:name w:val="List Paragraph"/>
    <w:basedOn w:val="Normal"/>
    <w:uiPriority w:val="34"/>
    <w:qFormat/>
    <w:rsid w:val="00FF2C26"/>
    <w:pPr>
      <w:ind w:left="720"/>
      <w:contextualSpacing/>
    </w:pPr>
  </w:style>
  <w:style w:type="paragraph" w:styleId="Header">
    <w:name w:val="header"/>
    <w:basedOn w:val="Normal"/>
    <w:link w:val="HeaderChar"/>
    <w:rsid w:val="00FF2C26"/>
    <w:pPr>
      <w:tabs>
        <w:tab w:val="center" w:pos="4536"/>
        <w:tab w:val="right" w:pos="9072"/>
      </w:tabs>
    </w:pPr>
  </w:style>
  <w:style w:type="character" w:customStyle="1" w:styleId="HeaderChar">
    <w:name w:val="Header Char"/>
    <w:basedOn w:val="DefaultParagraphFont"/>
    <w:link w:val="Header"/>
    <w:rsid w:val="00FF2C26"/>
    <w:rPr>
      <w:rFonts w:ascii="Fujitsu Sans" w:eastAsia="MS Mincho" w:hAnsi="Fujitsu Sans" w:cs="Times New Roman"/>
      <w:szCs w:val="24"/>
      <w:lang w:eastAsia="ja-JP"/>
    </w:rPr>
  </w:style>
  <w:style w:type="table" w:styleId="TableGrid">
    <w:name w:val="Table Grid"/>
    <w:basedOn w:val="TableNormal"/>
    <w:rsid w:val="00FF2C26"/>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C26"/>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B359E9"/>
    <w:pPr>
      <w:spacing w:after="120"/>
    </w:pPr>
    <w:rPr>
      <w:rFonts w:ascii="Arial" w:eastAsia="Times New Roman" w:hAnsi="Arial" w:cs="Arial"/>
      <w:lang w:val="en-GB" w:eastAsia="en-US"/>
    </w:rPr>
  </w:style>
  <w:style w:type="character" w:customStyle="1" w:styleId="BodyTextChar">
    <w:name w:val="Body Text Char"/>
    <w:basedOn w:val="DefaultParagraphFont"/>
    <w:link w:val="BodyText"/>
    <w:rsid w:val="00B359E9"/>
    <w:rPr>
      <w:rFonts w:ascii="Arial" w:eastAsia="Times New Roman"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Slowey, Louise</dc:creator>
  <cp:keywords/>
  <dc:description/>
  <cp:lastModifiedBy>Kadam, Anuja</cp:lastModifiedBy>
  <cp:revision>55</cp:revision>
  <dcterms:created xsi:type="dcterms:W3CDTF">2022-02-23T07:16:00Z</dcterms:created>
  <dcterms:modified xsi:type="dcterms:W3CDTF">2023-07-11T22:57:00Z</dcterms:modified>
</cp:coreProperties>
</file>